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附件3</w:t>
      </w:r>
    </w:p>
    <w:p>
      <w:pPr>
        <w:ind w:firstLine="0" w:firstLineChars="0"/>
        <w:rPr>
          <w:rFonts w:ascii="黑体" w:hAnsi="黑体" w:eastAsia="黑体" w:cs="黑体"/>
          <w:color w:val="auto"/>
          <w:szCs w:val="32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系统化全域推进海绵城市建设示范城市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实施方案编制大纲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（供参考）</w:t>
      </w:r>
    </w:p>
    <w:p>
      <w:pPr>
        <w:ind w:firstLine="632"/>
        <w:rPr>
          <w:rFonts w:ascii="仿宋" w:hAnsi="仿宋" w:cs="仿宋"/>
          <w:color w:val="auto"/>
          <w:szCs w:val="32"/>
        </w:rPr>
      </w:pP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为系统化全域推进海绵城市建设，在组织领导、工作机制、政策措施等方面形成具有示范意义的经验，以点带面，带动一定区域内其他城市稳步推进海绵城市建设，制定本大纲。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一、基本情况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（一）城市基础特征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简述本市地形地貌、山水格局、土壤地质、气候水文等特征。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（二）城市建设有关情况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简述本市经济社会、人口、用地情况，以及</w:t>
      </w:r>
      <w:r>
        <w:rPr>
          <w:rFonts w:hint="eastAsia" w:cs="Times New Roman"/>
          <w:color w:val="auto"/>
          <w:szCs w:val="32"/>
        </w:rPr>
        <w:t>城市防洪排涝设施建设、地下空间建设</w:t>
      </w:r>
      <w:r>
        <w:rPr>
          <w:rFonts w:hint="eastAsia" w:cs="Times New Roman"/>
          <w:color w:val="auto"/>
          <w:szCs w:val="32"/>
          <w:lang w:eastAsia="zh-CN"/>
        </w:rPr>
        <w:t>、城市老旧小区改造</w:t>
      </w:r>
      <w:r>
        <w:rPr>
          <w:rFonts w:hint="eastAsia" w:cs="Times New Roman"/>
          <w:color w:val="auto"/>
          <w:szCs w:val="32"/>
        </w:rPr>
        <w:t>等</w:t>
      </w:r>
      <w:r>
        <w:rPr>
          <w:rFonts w:hint="eastAsia" w:ascii="仿宋" w:hAnsi="仿宋" w:cs="仿宋"/>
          <w:color w:val="auto"/>
          <w:szCs w:val="32"/>
        </w:rPr>
        <w:t>情况。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二、已开展的工作和成效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总结海绵城市建设方面已经取得的成效、经验和体会等，并从以下方面简述已经开展的工作：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（一）海绵城市建设的组织领导、工作机构或协调机制建立情况。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（二）海绵城市建设、</w:t>
      </w:r>
      <w:r>
        <w:rPr>
          <w:rFonts w:cs="Times New Roman"/>
          <w:color w:val="auto"/>
          <w:szCs w:val="32"/>
        </w:rPr>
        <w:t>城市防洪排涝、城市地下空间建设</w:t>
      </w:r>
      <w:r>
        <w:rPr>
          <w:rFonts w:hint="eastAsia" w:cs="Times New Roman"/>
          <w:color w:val="auto"/>
          <w:szCs w:val="32"/>
        </w:rPr>
        <w:t>等相关</w:t>
      </w:r>
      <w:r>
        <w:rPr>
          <w:rFonts w:hint="eastAsia" w:cs="Times New Roman"/>
          <w:color w:val="auto"/>
          <w:szCs w:val="32"/>
          <w:lang w:eastAsia="zh-CN"/>
        </w:rPr>
        <w:t>专项</w:t>
      </w:r>
      <w:r>
        <w:rPr>
          <w:rFonts w:hint="eastAsia" w:ascii="仿宋" w:hAnsi="仿宋" w:cs="仿宋"/>
          <w:color w:val="auto"/>
          <w:szCs w:val="32"/>
        </w:rPr>
        <w:t>规划编制和实施情况；相关地方标准制定情况。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（三）海绵城市建设、</w:t>
      </w:r>
      <w:r>
        <w:rPr>
          <w:rFonts w:cs="Times New Roman"/>
          <w:color w:val="auto"/>
          <w:szCs w:val="32"/>
        </w:rPr>
        <w:t>城市防洪排涝、城市地下空间建设</w:t>
      </w:r>
      <w:r>
        <w:rPr>
          <w:rFonts w:hint="eastAsia" w:cs="Times New Roman"/>
          <w:color w:val="auto"/>
          <w:szCs w:val="32"/>
        </w:rPr>
        <w:t>等</w:t>
      </w:r>
      <w:r>
        <w:rPr>
          <w:rFonts w:hint="eastAsia" w:ascii="仿宋" w:hAnsi="仿宋" w:cs="仿宋"/>
          <w:color w:val="auto"/>
          <w:szCs w:val="32"/>
        </w:rPr>
        <w:t>相关的法律法规、政策制度文件制定和实施情况，包括规划建设管控制度、设计施工、工程质量控制、验收管理、运行维护、投融资等方面。</w:t>
      </w:r>
    </w:p>
    <w:p>
      <w:pPr>
        <w:ind w:firstLine="632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（</w:t>
      </w:r>
      <w:r>
        <w:rPr>
          <w:rFonts w:hint="eastAsia" w:ascii="仿宋" w:hAnsi="仿宋" w:cs="仿宋"/>
          <w:color w:val="auto"/>
          <w:szCs w:val="32"/>
          <w:lang w:eastAsia="zh-CN"/>
        </w:rPr>
        <w:t>四</w:t>
      </w:r>
      <w:r>
        <w:rPr>
          <w:rFonts w:hint="eastAsia" w:ascii="仿宋" w:hAnsi="仿宋" w:cs="仿宋"/>
          <w:color w:val="auto"/>
          <w:szCs w:val="32"/>
        </w:rPr>
        <w:t>）城市内涝治理、城市黑臭水体治理情况。</w:t>
      </w:r>
    </w:p>
    <w:p>
      <w:pPr>
        <w:ind w:firstLine="632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cs="仿宋"/>
          <w:color w:val="auto"/>
          <w:szCs w:val="32"/>
          <w:lang w:eastAsia="zh-CN"/>
        </w:rPr>
        <w:t>（五）海绵城市、</w:t>
      </w:r>
      <w:r>
        <w:rPr>
          <w:rFonts w:cs="Times New Roman"/>
          <w:color w:val="auto"/>
          <w:szCs w:val="32"/>
        </w:rPr>
        <w:t>城市防洪排涝、城市地下空间建设</w:t>
      </w:r>
      <w:r>
        <w:rPr>
          <w:rFonts w:hint="eastAsia" w:cs="Times New Roman"/>
          <w:color w:val="auto"/>
          <w:szCs w:val="32"/>
        </w:rPr>
        <w:t>等</w:t>
      </w:r>
      <w:r>
        <w:rPr>
          <w:rFonts w:hint="eastAsia" w:cs="Times New Roman"/>
          <w:color w:val="auto"/>
          <w:szCs w:val="32"/>
          <w:lang w:eastAsia="zh-CN"/>
        </w:rPr>
        <w:t>方面的投融资情况。包括：财政投入、社会资本引入、建立收费制度等。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（</w:t>
      </w:r>
      <w:r>
        <w:rPr>
          <w:rFonts w:hint="eastAsia" w:ascii="仿宋" w:hAnsi="仿宋" w:cs="仿宋"/>
          <w:color w:val="auto"/>
          <w:szCs w:val="32"/>
          <w:lang w:eastAsia="zh-CN"/>
        </w:rPr>
        <w:t>六</w:t>
      </w:r>
      <w:r>
        <w:rPr>
          <w:rFonts w:hint="eastAsia" w:ascii="仿宋" w:hAnsi="仿宋" w:cs="仿宋"/>
          <w:color w:val="auto"/>
          <w:szCs w:val="32"/>
        </w:rPr>
        <w:t>）海绵城市建设评价机制建立情况、评价工作开展情况。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（</w:t>
      </w:r>
      <w:r>
        <w:rPr>
          <w:rFonts w:hint="eastAsia" w:ascii="仿宋" w:hAnsi="仿宋" w:cs="仿宋"/>
          <w:color w:val="auto"/>
          <w:szCs w:val="32"/>
          <w:lang w:eastAsia="zh-CN"/>
        </w:rPr>
        <w:t>七</w:t>
      </w:r>
      <w:r>
        <w:rPr>
          <w:rFonts w:hint="eastAsia" w:ascii="仿宋" w:hAnsi="仿宋" w:cs="仿宋"/>
          <w:color w:val="auto"/>
          <w:szCs w:val="32"/>
        </w:rPr>
        <w:t>）落实海绵城市建设理念相关工程项目实施情况和效果；实施城市更新行动，推进城镇老旧小区改造、城市生态修复功能完善、完整居住社区建设、地下空间开发建设、“新城建”等工作进展和成效。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三、“十四五”期间拟解决的问题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坚持问题导向，从城市积水内涝、</w:t>
      </w:r>
      <w:r>
        <w:rPr>
          <w:rFonts w:hint="eastAsia" w:ascii="仿宋" w:hAnsi="仿宋" w:cs="仿宋"/>
          <w:color w:val="auto"/>
          <w:szCs w:val="32"/>
          <w:lang w:eastAsia="zh-CN"/>
        </w:rPr>
        <w:t>水环境及</w:t>
      </w:r>
      <w:r>
        <w:rPr>
          <w:rFonts w:hint="eastAsia" w:ascii="仿宋" w:hAnsi="仿宋" w:cs="仿宋"/>
          <w:color w:val="auto"/>
          <w:szCs w:val="32"/>
        </w:rPr>
        <w:t>人居环境差、居住社区设施</w:t>
      </w:r>
      <w:r>
        <w:rPr>
          <w:rFonts w:hint="eastAsia" w:ascii="仿宋" w:hAnsi="仿宋" w:cs="仿宋"/>
          <w:color w:val="auto"/>
          <w:szCs w:val="32"/>
          <w:lang w:eastAsia="zh-CN"/>
        </w:rPr>
        <w:t>存在</w:t>
      </w:r>
      <w:r>
        <w:rPr>
          <w:rFonts w:hint="eastAsia" w:ascii="仿宋" w:hAnsi="仿宋" w:cs="仿宋"/>
          <w:color w:val="auto"/>
          <w:szCs w:val="32"/>
        </w:rPr>
        <w:t>短板等人民群众最关心最直接最现实的突出问题着手，分析“十四五”期间通过海绵城市建设拟解决的主要问题。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四、建设目标和工作思路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（一）工作目标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以海绵城市建设为统领，统筹实施城市防洪排涝设施建设、地下空间建设、老旧小区改造等，</w:t>
      </w:r>
      <w:r>
        <w:rPr>
          <w:rFonts w:hint="eastAsia" w:ascii="仿宋" w:hAnsi="仿宋" w:cs="仿宋"/>
          <w:color w:val="auto"/>
          <w:szCs w:val="32"/>
        </w:rPr>
        <w:t>把生态和安全放在更加突出的位置，围绕水生态恢复、水安全保障、水环境改善、水资源涵养、城市人居环境提升、增强城市发展的整体性系统性、提高城市的承载力宜居性包容度、人民群众获得感幸福感等角度</w:t>
      </w:r>
      <w:r>
        <w:rPr>
          <w:rFonts w:cs="Times New Roman"/>
          <w:color w:val="auto"/>
          <w:szCs w:val="32"/>
        </w:rPr>
        <w:t>，提出到</w:t>
      </w:r>
      <w:r>
        <w:rPr>
          <w:rFonts w:hint="eastAsia" w:cs="Times New Roman"/>
          <w:color w:val="auto"/>
          <w:szCs w:val="32"/>
        </w:rPr>
        <w:t>示范期末</w:t>
      </w:r>
      <w:r>
        <w:rPr>
          <w:rFonts w:cs="Times New Roman"/>
          <w:color w:val="auto"/>
          <w:szCs w:val="32"/>
        </w:rPr>
        <w:t>的工作目标</w:t>
      </w:r>
      <w:r>
        <w:rPr>
          <w:rFonts w:hint="eastAsia" w:cs="Times New Roman"/>
          <w:color w:val="auto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（二）指标体系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坚持结果导向，</w:t>
      </w:r>
      <w:r>
        <w:rPr>
          <w:rFonts w:hint="eastAsia" w:ascii="仿宋" w:hAnsi="仿宋" w:cs="仿宋"/>
          <w:color w:val="auto"/>
          <w:szCs w:val="32"/>
          <w:lang w:eastAsia="zh-CN"/>
        </w:rPr>
        <w:t>因地制宜</w:t>
      </w:r>
      <w:r>
        <w:rPr>
          <w:rFonts w:hint="eastAsia" w:ascii="仿宋" w:hAnsi="仿宋" w:cs="仿宋"/>
          <w:color w:val="auto"/>
          <w:szCs w:val="32"/>
        </w:rPr>
        <w:t>将工作目标分解形成</w:t>
      </w:r>
      <w:r>
        <w:rPr>
          <w:rFonts w:hint="eastAsia" w:ascii="仿宋" w:hAnsi="仿宋" w:cs="仿宋"/>
          <w:color w:val="auto"/>
          <w:szCs w:val="32"/>
          <w:lang w:eastAsia="zh-CN"/>
        </w:rPr>
        <w:t>城市内涝治理、水环境质量、地下水埋深变化、雨水资源利用、可渗透地面面积等</w:t>
      </w:r>
      <w:r>
        <w:rPr>
          <w:rFonts w:hint="eastAsia" w:ascii="仿宋" w:hAnsi="仿宋" w:cs="仿宋"/>
          <w:color w:val="auto"/>
          <w:szCs w:val="32"/>
        </w:rPr>
        <w:t>方面的量化指标。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（三）技术路线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提出</w:t>
      </w:r>
      <w:r>
        <w:rPr>
          <w:rFonts w:hint="eastAsia" w:ascii="仿宋" w:hAnsi="仿宋" w:cs="仿宋"/>
          <w:color w:val="auto"/>
          <w:szCs w:val="32"/>
          <w:lang w:eastAsia="zh-CN"/>
        </w:rPr>
        <w:t>系统化全域开展</w:t>
      </w:r>
      <w:r>
        <w:rPr>
          <w:rFonts w:hint="eastAsia" w:ascii="仿宋" w:hAnsi="仿宋" w:cs="仿宋"/>
          <w:color w:val="auto"/>
          <w:szCs w:val="32"/>
        </w:rPr>
        <w:t>海绵城市建设示范的技术路线。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五、统筹谋划系统化实施方案</w:t>
      </w:r>
    </w:p>
    <w:p>
      <w:pPr>
        <w:ind w:firstLine="632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cs="仿宋"/>
          <w:color w:val="auto"/>
          <w:szCs w:val="32"/>
        </w:rPr>
        <w:t>在区域流域、城市、设施、社区等不同层级进行系统研究，统筹区域流域生态环境治理和城市建设，统筹城市水资源利用和防灾减灾，统筹城市防洪和排涝工作，遵循区域生态基础设施连续性完整性，</w:t>
      </w:r>
      <w:r>
        <w:rPr>
          <w:rFonts w:hint="eastAsia" w:cs="Times New Roman"/>
          <w:color w:val="auto"/>
          <w:szCs w:val="32"/>
        </w:rPr>
        <w:t>结合开展城市防洪排涝设施建设、地下空间建设、老旧小区改造等，</w:t>
      </w:r>
      <w:r>
        <w:rPr>
          <w:rFonts w:hint="eastAsia" w:ascii="仿宋" w:hAnsi="仿宋" w:cs="仿宋"/>
          <w:color w:val="auto"/>
          <w:szCs w:val="32"/>
        </w:rPr>
        <w:t>构建健康循环的城市水系统，在所有新建、改建、扩建项目中落实海绵城市建设要求。</w:t>
      </w:r>
      <w:r>
        <w:rPr>
          <w:rFonts w:hint="eastAsia" w:ascii="仿宋" w:hAnsi="仿宋" w:cs="仿宋"/>
          <w:color w:val="auto"/>
          <w:szCs w:val="32"/>
          <w:lang w:eastAsia="zh-CN"/>
        </w:rPr>
        <w:t>区域流域、城市、设施、社区等不同层面的建设内容，实施方案应遵循简约适用、因地制宜的原则，坚决避免“大引大排”、“大拆大建”等铺张浪费情况。可结合本地实际需求，参考以下方面，突出重点和特色。</w:t>
      </w:r>
    </w:p>
    <w:p>
      <w:pPr>
        <w:ind w:firstLine="634"/>
        <w:rPr>
          <w:rFonts w:ascii="仿宋" w:hAnsi="仿宋" w:cs="仿宋"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（一）社区</w:t>
      </w:r>
      <w:r>
        <w:rPr>
          <w:rFonts w:hint="eastAsia" w:ascii="仿宋" w:hAnsi="仿宋" w:cs="仿宋"/>
          <w:color w:val="auto"/>
          <w:szCs w:val="32"/>
        </w:rPr>
        <w:t>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在老旧小区改造中，充分运用“渗、滞、蓄、净、用、排”等措施，优先解决污水管网不完善、雨污水管网混错接等问题。在解决居住社区设施不完善、公共空间不足等问题时，融入海绵城市理念，充分利用居住社区内的空地、荒地和拆违空地增加公共绿地、袖珍公园等公共活动空间，实现景观休闲、防灾减灾等综合功能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（二）设施。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在各类建设项目中落实海绵城市建设要求，</w:t>
      </w:r>
      <w:r>
        <w:rPr>
          <w:rFonts w:hint="eastAsia" w:cs="Times New Roman"/>
          <w:color w:val="auto"/>
          <w:szCs w:val="32"/>
        </w:rPr>
        <w:t>统筹规划建设和改造完善城市河道、水库、泵站等防涝设施，改造和建设地下管网（管廊、管沟）、城市雨洪行泄通道、城市排涝沟渠等，</w:t>
      </w:r>
      <w:r>
        <w:rPr>
          <w:rFonts w:hint="eastAsia" w:cs="Times New Roman"/>
          <w:color w:val="auto"/>
          <w:szCs w:val="32"/>
          <w:lang w:eastAsia="zh-CN"/>
        </w:rPr>
        <w:t>做好排水管道、内河与水利承泄河道、湖泊、洼地之间的水位水量衔接，充分发挥河湖等天然海绵体的蓄滞作用，推进城市排水管道、涝水外排能力和应急排涝设施建设，</w:t>
      </w:r>
      <w:r>
        <w:rPr>
          <w:rFonts w:hint="eastAsia" w:cs="Times New Roman"/>
          <w:color w:val="auto"/>
          <w:szCs w:val="32"/>
        </w:rPr>
        <w:t>提升城市应对洪涝灾害的能力。</w:t>
      </w:r>
      <w:r>
        <w:rPr>
          <w:rFonts w:hint="eastAsia" w:ascii="仿宋" w:hAnsi="仿宋" w:cs="仿宋"/>
          <w:color w:val="auto"/>
        </w:rPr>
        <w:t>新建城区应提出规划建设管控方案，统筹城市水环境治理、污水提质增效等工作要求，高标准规划、高标准建设基础设施，</w:t>
      </w:r>
      <w:r>
        <w:rPr>
          <w:rFonts w:cs="Times New Roman"/>
          <w:color w:val="auto"/>
          <w:szCs w:val="32"/>
        </w:rPr>
        <w:t>先地下后地上，高起点规划、高标准建设城市排水设施，</w:t>
      </w:r>
      <w:r>
        <w:rPr>
          <w:rFonts w:hint="eastAsia" w:cs="Times New Roman"/>
          <w:color w:val="auto"/>
          <w:szCs w:val="32"/>
        </w:rPr>
        <w:t>并与自然生态系统有效衔接，</w:t>
      </w:r>
      <w:r>
        <w:rPr>
          <w:rFonts w:hint="eastAsia" w:ascii="仿宋" w:hAnsi="仿宋" w:cs="仿宋"/>
          <w:color w:val="auto"/>
        </w:rPr>
        <w:t>与地下空间开发利用等协同推进。老城区结合城市更新，针对积水内涝、面源污染、水环境质量差、公共空间品质不高等问题，</w:t>
      </w:r>
      <w:r>
        <w:rPr>
          <w:rFonts w:cs="Times New Roman"/>
          <w:color w:val="auto"/>
          <w:szCs w:val="32"/>
        </w:rPr>
        <w:t>有针对性地加强排水管网、雨水泵站、调蓄设施等排水防涝设施的改造建设，有效缓解城市内涝问题</w:t>
      </w:r>
      <w:r>
        <w:rPr>
          <w:rFonts w:hint="eastAsia" w:ascii="仿宋" w:hAnsi="仿宋" w:cs="仿宋"/>
          <w:color w:val="auto"/>
        </w:rPr>
        <w:t>。</w:t>
      </w:r>
      <w:r>
        <w:rPr>
          <w:rFonts w:cs="Times New Roman"/>
          <w:color w:val="auto"/>
          <w:szCs w:val="32"/>
        </w:rPr>
        <w:t>建设基于城市信息</w:t>
      </w:r>
      <w:r>
        <w:rPr>
          <w:rFonts w:hint="eastAsia" w:cs="Times New Roman"/>
          <w:color w:val="auto"/>
          <w:szCs w:val="32"/>
        </w:rPr>
        <w:t>模型</w:t>
      </w:r>
      <w:r>
        <w:rPr>
          <w:rFonts w:cs="Times New Roman"/>
          <w:color w:val="auto"/>
          <w:szCs w:val="32"/>
        </w:rPr>
        <w:t>（CIM）</w:t>
      </w:r>
      <w:r>
        <w:rPr>
          <w:rFonts w:hint="eastAsia" w:cs="Times New Roman"/>
          <w:color w:val="auto"/>
          <w:szCs w:val="32"/>
        </w:rPr>
        <w:t>基础平台</w:t>
      </w:r>
      <w:r>
        <w:rPr>
          <w:rFonts w:cs="Times New Roman"/>
          <w:color w:val="auto"/>
          <w:szCs w:val="32"/>
        </w:rPr>
        <w:t>的</w:t>
      </w:r>
      <w:r>
        <w:rPr>
          <w:rFonts w:hint="eastAsia" w:ascii="仿宋" w:hAnsi="仿宋" w:cs="方正仿宋_GBK"/>
          <w:color w:val="auto"/>
        </w:rPr>
        <w:t>城市综合管理信息平台</w:t>
      </w:r>
      <w:r>
        <w:rPr>
          <w:rFonts w:cs="Times New Roman"/>
          <w:color w:val="auto"/>
          <w:szCs w:val="32"/>
        </w:rPr>
        <w:t>，对城市降雨、防洪、排涝、蓄水、用水等信息进行综合采集、实时监测和系统分析</w:t>
      </w:r>
      <w:r>
        <w:rPr>
          <w:rFonts w:hint="eastAsia" w:cs="Times New Roman"/>
          <w:color w:val="auto"/>
          <w:szCs w:val="32"/>
        </w:rPr>
        <w:t>等。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（三）城市。</w:t>
      </w:r>
    </w:p>
    <w:p>
      <w:pPr>
        <w:ind w:firstLine="632"/>
        <w:jc w:val="left"/>
        <w:rPr>
          <w:rFonts w:ascii="仿宋" w:hAnsi="仿宋" w:cs="仿宋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建设</w:t>
      </w:r>
      <w:r>
        <w:rPr>
          <w:rFonts w:cs="Times New Roman"/>
          <w:color w:val="auto"/>
          <w:szCs w:val="32"/>
        </w:rPr>
        <w:t>生态、安全、可持续的城市水循环系统</w:t>
      </w:r>
      <w:r>
        <w:rPr>
          <w:rFonts w:hint="eastAsia" w:cs="Times New Roman"/>
          <w:color w:val="auto"/>
          <w:szCs w:val="32"/>
        </w:rPr>
        <w:t>，整体提升水资源保障水平和防灾减灾能力。</w:t>
      </w:r>
      <w:r>
        <w:rPr>
          <w:rFonts w:hint="eastAsia" w:ascii="仿宋" w:hAnsi="仿宋" w:cs="仿宋"/>
          <w:color w:val="auto"/>
        </w:rPr>
        <w:t>结合城市内涝治理、</w:t>
      </w:r>
      <w:r>
        <w:rPr>
          <w:rFonts w:hint="eastAsia" w:ascii="仿宋" w:hAnsi="仿宋" w:cs="仿宋"/>
          <w:color w:val="auto"/>
          <w:lang w:eastAsia="zh-CN"/>
        </w:rPr>
        <w:t>城市水环境改善</w:t>
      </w:r>
      <w:r>
        <w:rPr>
          <w:rFonts w:hint="eastAsia" w:ascii="仿宋" w:hAnsi="仿宋" w:cs="仿宋"/>
          <w:color w:val="auto"/>
        </w:rPr>
        <w:t>、城市生态修复功能完善、生态基础设施建设，</w:t>
      </w:r>
      <w:r>
        <w:rPr>
          <w:rFonts w:hint="eastAsia" w:ascii="仿宋" w:hAnsi="仿宋" w:cs="仿宋"/>
          <w:color w:val="auto"/>
          <w:szCs w:val="32"/>
        </w:rPr>
        <w:t>建立“源头减排、排水管渠、排涝除险”的排水防涝工程体系，逐步构建健康循环的水系统。结合城市更新“增绿留白”，在城市绿地、建筑、道路、广场等新建改建项目中，因地制</w:t>
      </w:r>
      <w:r>
        <w:rPr>
          <w:rFonts w:cs="Times New Roman"/>
          <w:color w:val="auto"/>
          <w:szCs w:val="32"/>
        </w:rPr>
        <w:t>宜建设屋顶绿化、植草沟、干湿塘、旱溪、下沉式绿地、地下调蓄池等设施，</w:t>
      </w:r>
      <w:r>
        <w:rPr>
          <w:rFonts w:hint="eastAsia" w:cs="Times New Roman"/>
          <w:color w:val="auto"/>
          <w:szCs w:val="32"/>
        </w:rPr>
        <w:t>推广</w:t>
      </w:r>
      <w:r>
        <w:rPr>
          <w:rFonts w:cs="Times New Roman"/>
          <w:color w:val="auto"/>
          <w:szCs w:val="32"/>
        </w:rPr>
        <w:t>城市</w:t>
      </w:r>
      <w:r>
        <w:rPr>
          <w:rFonts w:hint="eastAsia" w:cs="Times New Roman"/>
          <w:color w:val="auto"/>
          <w:szCs w:val="32"/>
        </w:rPr>
        <w:t>透水</w:t>
      </w:r>
      <w:r>
        <w:rPr>
          <w:rFonts w:cs="Times New Roman"/>
          <w:color w:val="auto"/>
          <w:szCs w:val="32"/>
        </w:rPr>
        <w:t>铺装，建设雨水下渗设施，不断扩大城市透水面积</w:t>
      </w:r>
      <w:r>
        <w:rPr>
          <w:rFonts w:hint="eastAsia" w:cs="Times New Roman"/>
          <w:color w:val="auto"/>
          <w:szCs w:val="32"/>
        </w:rPr>
        <w:t>，</w:t>
      </w:r>
      <w:r>
        <w:rPr>
          <w:rFonts w:cs="Times New Roman"/>
          <w:color w:val="auto"/>
          <w:szCs w:val="32"/>
        </w:rPr>
        <w:t>整体提升城市对雨水的</w:t>
      </w:r>
      <w:r>
        <w:rPr>
          <w:rFonts w:hint="eastAsia" w:cs="Times New Roman"/>
          <w:color w:val="auto"/>
          <w:szCs w:val="32"/>
        </w:rPr>
        <w:t>蓄滞</w:t>
      </w:r>
      <w:r>
        <w:rPr>
          <w:rFonts w:cs="Times New Roman"/>
          <w:color w:val="auto"/>
          <w:szCs w:val="32"/>
        </w:rPr>
        <w:t>、</w:t>
      </w:r>
      <w:r>
        <w:rPr>
          <w:rFonts w:hint="eastAsia" w:cs="Times New Roman"/>
          <w:color w:val="auto"/>
          <w:szCs w:val="32"/>
        </w:rPr>
        <w:t>净化</w:t>
      </w:r>
      <w:r>
        <w:rPr>
          <w:rFonts w:cs="Times New Roman"/>
          <w:color w:val="auto"/>
          <w:szCs w:val="32"/>
        </w:rPr>
        <w:t>能力</w:t>
      </w:r>
      <w:r>
        <w:rPr>
          <w:rFonts w:hint="eastAsia" w:cs="Times New Roman"/>
          <w:color w:val="auto"/>
          <w:szCs w:val="32"/>
        </w:rPr>
        <w:t>。</w:t>
      </w:r>
      <w:r>
        <w:rPr>
          <w:rFonts w:hint="eastAsia" w:ascii="仿宋" w:hAnsi="仿宋"/>
          <w:color w:val="auto"/>
          <w:szCs w:val="32"/>
        </w:rPr>
        <w:t>恢复城市内外河湖水系的自然连通，增强水的畅通度和流动性，因地制宜恢复因历史原因封盖、填埋的天然排水沟、河道等。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（四）流域区域。</w:t>
      </w:r>
    </w:p>
    <w:p>
      <w:pPr>
        <w:ind w:firstLine="632"/>
        <w:rPr>
          <w:rFonts w:ascii="仿宋" w:hAnsi="仿宋" w:cs="仿宋"/>
          <w:color w:val="auto"/>
        </w:rPr>
      </w:pPr>
      <w:r>
        <w:rPr>
          <w:rFonts w:hint="eastAsia" w:cs="Times New Roman"/>
          <w:color w:val="auto"/>
          <w:szCs w:val="32"/>
        </w:rPr>
        <w:t>修复</w:t>
      </w:r>
      <w:r>
        <w:rPr>
          <w:rFonts w:cs="Times New Roman"/>
          <w:color w:val="auto"/>
          <w:szCs w:val="32"/>
        </w:rPr>
        <w:t>自然生态系统</w:t>
      </w:r>
      <w:r>
        <w:rPr>
          <w:rFonts w:hint="eastAsia" w:cs="Times New Roman"/>
          <w:color w:val="auto"/>
          <w:szCs w:val="32"/>
        </w:rPr>
        <w:t>，</w:t>
      </w:r>
      <w:r>
        <w:rPr>
          <w:rFonts w:cs="Times New Roman"/>
          <w:color w:val="auto"/>
          <w:szCs w:val="32"/>
        </w:rPr>
        <w:t>建设连续完整的城市生态基础设施体系，构建理想的山水城空间格局</w:t>
      </w:r>
      <w:r>
        <w:rPr>
          <w:rFonts w:hint="eastAsia" w:cs="Times New Roman"/>
          <w:color w:val="auto"/>
          <w:szCs w:val="32"/>
        </w:rPr>
        <w:t>，</w:t>
      </w:r>
      <w:r>
        <w:rPr>
          <w:rFonts w:cs="Times New Roman"/>
          <w:color w:val="auto"/>
        </w:rPr>
        <w:t>加强城市开发建设</w:t>
      </w:r>
      <w:r>
        <w:rPr>
          <w:rFonts w:hint="eastAsia" w:cs="Times New Roman"/>
          <w:color w:val="auto"/>
        </w:rPr>
        <w:t>选址与防洪排涝的统筹</w:t>
      </w:r>
      <w:r>
        <w:rPr>
          <w:rFonts w:cs="Times New Roman"/>
          <w:color w:val="auto"/>
        </w:rPr>
        <w:t>，</w:t>
      </w:r>
      <w:r>
        <w:rPr>
          <w:rFonts w:hint="eastAsia" w:cs="Times New Roman"/>
          <w:color w:val="auto"/>
          <w:szCs w:val="32"/>
        </w:rPr>
        <w:t>提升</w:t>
      </w:r>
      <w:r>
        <w:rPr>
          <w:rFonts w:cs="Times New Roman"/>
          <w:color w:val="auto"/>
          <w:szCs w:val="32"/>
        </w:rPr>
        <w:t>自然蓄</w:t>
      </w:r>
      <w:r>
        <w:rPr>
          <w:rFonts w:hint="eastAsia" w:cs="Times New Roman"/>
          <w:color w:val="auto"/>
          <w:szCs w:val="32"/>
        </w:rPr>
        <w:t>水</w:t>
      </w:r>
      <w:r>
        <w:rPr>
          <w:rFonts w:cs="Times New Roman"/>
          <w:color w:val="auto"/>
          <w:szCs w:val="32"/>
        </w:rPr>
        <w:t>排水</w:t>
      </w:r>
      <w:r>
        <w:rPr>
          <w:rFonts w:hint="eastAsia" w:cs="Times New Roman"/>
          <w:color w:val="auto"/>
          <w:szCs w:val="32"/>
        </w:rPr>
        <w:t>能力。</w:t>
      </w:r>
      <w:r>
        <w:rPr>
          <w:rFonts w:hint="eastAsia" w:cs="仿宋"/>
          <w:color w:val="auto"/>
        </w:rPr>
        <w:t>识别山、水、林、田、湖、草等生命共同体的空间分布，</w:t>
      </w:r>
      <w:r>
        <w:rPr>
          <w:rFonts w:cs="Times New Roman"/>
          <w:color w:val="auto"/>
          <w:szCs w:val="32"/>
        </w:rPr>
        <w:t>保护山体自然风貌，恢复山体原有植被</w:t>
      </w:r>
      <w:r>
        <w:rPr>
          <w:rFonts w:hint="eastAsia" w:cs="Times New Roman"/>
          <w:color w:val="auto"/>
          <w:szCs w:val="32"/>
        </w:rPr>
        <w:t>。</w:t>
      </w:r>
      <w:r>
        <w:rPr>
          <w:rFonts w:cs="Times New Roman"/>
          <w:color w:val="auto"/>
          <w:szCs w:val="32"/>
        </w:rPr>
        <w:t>修复河湖水系和湿地等水体，恢复自然岸线、滩涂和滨水植被群落</w:t>
      </w:r>
      <w:r>
        <w:rPr>
          <w:rFonts w:hint="eastAsia" w:cs="Times New Roman"/>
          <w:color w:val="auto"/>
          <w:szCs w:val="32"/>
        </w:rPr>
        <w:t>，</w:t>
      </w:r>
      <w:r>
        <w:rPr>
          <w:rFonts w:hint="eastAsia" w:ascii="仿宋" w:hAnsi="仿宋"/>
          <w:color w:val="auto"/>
          <w:szCs w:val="32"/>
        </w:rPr>
        <w:t>提高水资源涵养、蓄积、净化能力。</w:t>
      </w:r>
      <w:r>
        <w:rPr>
          <w:rFonts w:cs="Times New Roman"/>
          <w:color w:val="auto"/>
          <w:szCs w:val="32"/>
        </w:rPr>
        <w:t>保护</w:t>
      </w:r>
      <w:r>
        <w:rPr>
          <w:rFonts w:hint="eastAsia" w:cs="Times New Roman"/>
          <w:color w:val="auto"/>
          <w:szCs w:val="32"/>
        </w:rPr>
        <w:t>流域区域</w:t>
      </w:r>
      <w:r>
        <w:rPr>
          <w:rFonts w:cs="Times New Roman"/>
          <w:color w:val="auto"/>
          <w:szCs w:val="32"/>
        </w:rPr>
        <w:t>现有雨洪调蓄空间，</w:t>
      </w:r>
      <w:r>
        <w:rPr>
          <w:rFonts w:hint="eastAsia" w:cs="仿宋"/>
          <w:color w:val="auto"/>
        </w:rPr>
        <w:t>扩展城市建成区外的自然调蓄空间。针对沿河、沿海及有山洪入城风险城市</w:t>
      </w:r>
      <w:r>
        <w:rPr>
          <w:rFonts w:hint="eastAsia" w:ascii="仿宋" w:hAnsi="仿宋" w:cs="仿宋"/>
          <w:color w:val="auto"/>
        </w:rPr>
        <w:t>，提出防洪（潮）工程等方案。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六、资金筹措和使用方案</w:t>
      </w:r>
    </w:p>
    <w:p>
      <w:pPr>
        <w:ind w:firstLine="632"/>
        <w:rPr>
          <w:rFonts w:hint="eastAsia" w:ascii="仿宋" w:hAnsi="仿宋" w:eastAsia="仿宋"/>
          <w:color w:val="auto"/>
          <w:szCs w:val="32"/>
          <w:lang w:eastAsia="zh-CN"/>
        </w:rPr>
      </w:pPr>
      <w:r>
        <w:rPr>
          <w:rFonts w:hint="eastAsia" w:ascii="仿宋" w:hAnsi="仿宋"/>
          <w:color w:val="auto"/>
          <w:szCs w:val="32"/>
        </w:rPr>
        <w:t>依据有关财务规定要求，提出资金筹措和使用方案，充分发挥中央资金的引导带动作用，</w:t>
      </w:r>
      <w:r>
        <w:rPr>
          <w:rFonts w:hint="eastAsia" w:ascii="仿宋" w:hAnsi="仿宋" w:cs="方正仿宋_GBK"/>
          <w:color w:val="auto"/>
          <w:lang w:bidi="ar"/>
        </w:rPr>
        <w:t>充分发挥水利、生态环保等方面资金“一钱多用”综合效益。</w:t>
      </w:r>
      <w:r>
        <w:rPr>
          <w:rFonts w:hint="eastAsia" w:ascii="仿宋" w:hAnsi="仿宋"/>
          <w:color w:val="auto"/>
          <w:szCs w:val="32"/>
        </w:rPr>
        <w:t>鼓励吸引社会资本参与，在财政承受能力、债务风险可控的前提下，可将</w:t>
      </w:r>
      <w:r>
        <w:rPr>
          <w:rFonts w:hint="eastAsia" w:ascii="仿宋" w:hAnsi="仿宋" w:cs="仿宋"/>
          <w:color w:val="auto"/>
          <w:szCs w:val="32"/>
        </w:rPr>
        <w:t>相关项目纳入本省当年新增专项债券项目需求清单。</w:t>
      </w:r>
      <w:r>
        <w:rPr>
          <w:rFonts w:hint="eastAsia" w:ascii="仿宋" w:hAnsi="仿宋" w:cs="仿宋"/>
          <w:color w:val="auto"/>
          <w:szCs w:val="32"/>
          <w:lang w:eastAsia="zh-CN"/>
        </w:rPr>
        <w:t>建立公共基础设施收费制度，合理确定收费标准及收缴机制。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七、建设任务和项目清单</w:t>
      </w:r>
    </w:p>
    <w:p>
      <w:pPr>
        <w:adjustRightInd w:val="0"/>
        <w:snapToGrid w:val="0"/>
        <w:ind w:firstLine="632"/>
        <w:rPr>
          <w:rFonts w:ascii="仿宋" w:hAnsi="仿宋" w:cs="仿宋"/>
          <w:color w:val="auto"/>
        </w:rPr>
      </w:pPr>
      <w:r>
        <w:rPr>
          <w:rFonts w:hint="eastAsia" w:ascii="仿宋" w:hAnsi="仿宋" w:cs="仿宋"/>
          <w:color w:val="auto"/>
        </w:rPr>
        <w:t>按照轻重缓急，</w:t>
      </w:r>
      <w:r>
        <w:rPr>
          <w:rFonts w:cs="Times New Roman"/>
          <w:color w:val="auto"/>
        </w:rPr>
        <w:t>逐年列出3年建设任务，明确任务主要内容、工程量、资金需求、时序安排、责任部门</w:t>
      </w:r>
      <w:r>
        <w:rPr>
          <w:rFonts w:hint="eastAsia" w:ascii="仿宋" w:hAnsi="仿宋" w:cs="仿宋"/>
          <w:color w:val="auto"/>
        </w:rPr>
        <w:t>等，编制项目清单（样式见附表）。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八、长效机制建设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（一）工作机制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已建立的机制，应在示范期内通过立法、建立规章等方式予以明确；尚未建立的机制，可先通过行政规范性文件予以明确，并在示范期完成立法或建立规章。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</w:t>
      </w:r>
      <w:r>
        <w:rPr>
          <w:rFonts w:hint="eastAsia" w:cs="Times New Roman"/>
          <w:color w:val="auto"/>
          <w:szCs w:val="32"/>
        </w:rPr>
        <w:t>工作组织方面：包括</w:t>
      </w:r>
      <w:r>
        <w:rPr>
          <w:rFonts w:cs="Times New Roman"/>
          <w:color w:val="auto"/>
          <w:szCs w:val="32"/>
        </w:rPr>
        <w:t>海绵城市</w:t>
      </w:r>
      <w:r>
        <w:rPr>
          <w:rFonts w:hint="eastAsia" w:cs="Times New Roman"/>
          <w:color w:val="auto"/>
          <w:szCs w:val="32"/>
        </w:rPr>
        <w:t>建设组织领导、法规制度</w:t>
      </w:r>
      <w:r>
        <w:rPr>
          <w:rFonts w:cs="Times New Roman"/>
          <w:color w:val="auto"/>
          <w:szCs w:val="32"/>
        </w:rPr>
        <w:t>保障</w:t>
      </w:r>
      <w:r>
        <w:rPr>
          <w:rFonts w:hint="eastAsia" w:cs="Times New Roman"/>
          <w:color w:val="auto"/>
          <w:szCs w:val="32"/>
        </w:rPr>
        <w:t>、决策督查考核、</w:t>
      </w:r>
      <w:r>
        <w:rPr>
          <w:rFonts w:cs="Times New Roman"/>
          <w:color w:val="auto"/>
          <w:szCs w:val="32"/>
        </w:rPr>
        <w:t>资金</w:t>
      </w:r>
      <w:r>
        <w:rPr>
          <w:rFonts w:hint="eastAsia" w:cs="Times New Roman"/>
          <w:color w:val="auto"/>
          <w:szCs w:val="32"/>
        </w:rPr>
        <w:t>投入保障等方面的机制。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2.统筹推进方面：包括政府相关部门统筹协调、形成工作合力的机制，统筹海绵城市建设和城市更新、城市生态修复功能完善、地下空间开发利用、城镇老旧小区改造、完整社区建设等相关工作统筹协调推进的机制，政府、企业、社会力量协调配合、合作共赢的机制，</w:t>
      </w:r>
      <w:r>
        <w:rPr>
          <w:rFonts w:hint="eastAsia" w:ascii="仿宋" w:hAnsi="仿宋" w:cs="方正仿宋_GBK"/>
          <w:color w:val="auto"/>
          <w:lang w:bidi="ar"/>
        </w:rPr>
        <w:t>各类工程的空间布局和建设时序优化安排机制，海绵城市规划建设成果与相关规划的协调和反馈机制等</w:t>
      </w:r>
      <w:r>
        <w:rPr>
          <w:rFonts w:hint="eastAsia" w:ascii="仿宋" w:hAnsi="仿宋"/>
          <w:color w:val="auto"/>
        </w:rPr>
        <w:t>。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3</w:t>
      </w:r>
      <w:r>
        <w:rPr>
          <w:rFonts w:cs="Times New Roman"/>
          <w:color w:val="auto"/>
          <w:szCs w:val="32"/>
        </w:rPr>
        <w:t>.</w:t>
      </w:r>
      <w:r>
        <w:rPr>
          <w:rFonts w:hint="eastAsia" w:cs="Times New Roman"/>
          <w:color w:val="auto"/>
          <w:szCs w:val="32"/>
        </w:rPr>
        <w:t>制度创新方面：包括</w:t>
      </w:r>
      <w:r>
        <w:rPr>
          <w:rFonts w:cs="Times New Roman"/>
          <w:color w:val="auto"/>
          <w:szCs w:val="32"/>
        </w:rPr>
        <w:t>规划建设</w:t>
      </w:r>
      <w:r>
        <w:rPr>
          <w:rFonts w:hint="eastAsia" w:cs="Times New Roman"/>
          <w:color w:val="auto"/>
          <w:szCs w:val="32"/>
        </w:rPr>
        <w:t>管控、设计施工、工程质量监督、竣工验收方面的</w:t>
      </w:r>
      <w:r>
        <w:rPr>
          <w:rFonts w:cs="Times New Roman"/>
          <w:color w:val="auto"/>
          <w:szCs w:val="32"/>
        </w:rPr>
        <w:t>机制</w:t>
      </w:r>
      <w:r>
        <w:rPr>
          <w:rFonts w:hint="eastAsia" w:cs="Times New Roman"/>
          <w:color w:val="auto"/>
          <w:szCs w:val="32"/>
        </w:rPr>
        <w:t>。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4.运营模式方面：包括</w:t>
      </w:r>
      <w:r>
        <w:rPr>
          <w:rFonts w:hint="eastAsia" w:ascii="仿宋" w:hAnsi="仿宋" w:cs="仿宋"/>
          <w:color w:val="auto"/>
          <w:szCs w:val="32"/>
        </w:rPr>
        <w:t>“厂网河（湖）一体”专</w:t>
      </w:r>
      <w:r>
        <w:rPr>
          <w:rFonts w:cs="Times New Roman"/>
          <w:color w:val="auto"/>
          <w:szCs w:val="32"/>
        </w:rPr>
        <w:t>业化运营机制</w:t>
      </w:r>
      <w:r>
        <w:rPr>
          <w:rFonts w:hint="eastAsia" w:cs="Times New Roman"/>
          <w:color w:val="auto"/>
          <w:szCs w:val="32"/>
        </w:rPr>
        <w:t>、政府与社会资本合作“绩效考核、按效付费”等。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5.</w:t>
      </w:r>
      <w:r>
        <w:rPr>
          <w:rFonts w:cs="Times New Roman"/>
          <w:color w:val="auto"/>
          <w:szCs w:val="32"/>
        </w:rPr>
        <w:t>其他有利于推进海绵城市建设的机制</w:t>
      </w:r>
      <w:r>
        <w:rPr>
          <w:rFonts w:hint="eastAsia" w:cs="Times New Roman"/>
          <w:color w:val="auto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（二）保障措施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结合本地实际提出。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1.组织保障：包括组织领导、管理体制、监督考核等；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2.制度保障：包括责任落实、规划建设、维护管理、</w:t>
      </w:r>
      <w:r>
        <w:rPr>
          <w:rFonts w:hint="eastAsia" w:cs="Times New Roman"/>
          <w:color w:val="auto"/>
          <w:szCs w:val="32"/>
        </w:rPr>
        <w:t>资金、</w:t>
      </w:r>
      <w:r>
        <w:rPr>
          <w:rFonts w:cs="Times New Roman"/>
          <w:color w:val="auto"/>
          <w:szCs w:val="32"/>
        </w:rPr>
        <w:t>用地、鼓励市场主体参与等；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3.宣传教育：包括科技支撑、人才培养、宣传教育等。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4</w:t>
      </w:r>
      <w:r>
        <w:rPr>
          <w:rFonts w:cs="Times New Roman"/>
          <w:color w:val="auto"/>
          <w:szCs w:val="32"/>
        </w:rPr>
        <w:t>.其他：有利于海绵城市建设</w:t>
      </w:r>
      <w:r>
        <w:rPr>
          <w:rFonts w:hint="eastAsia" w:ascii="仿宋" w:hAnsi="仿宋" w:cs="仿宋"/>
          <w:color w:val="auto"/>
          <w:szCs w:val="32"/>
        </w:rPr>
        <w:t>的其他措施。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九、项目清单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可参考附表样式。</w:t>
      </w:r>
    </w:p>
    <w:p>
      <w:pPr>
        <w:ind w:firstLine="632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十、附件</w:t>
      </w:r>
    </w:p>
    <w:p>
      <w:pPr>
        <w:adjustRightInd w:val="0"/>
        <w:snapToGrid w:val="0"/>
        <w:ind w:firstLine="632"/>
        <w:rPr>
          <w:rFonts w:ascii="仿宋" w:hAnsi="仿宋" w:cs="仿宋"/>
          <w:color w:val="auto"/>
        </w:rPr>
      </w:pPr>
      <w:r>
        <w:rPr>
          <w:rFonts w:hint="eastAsia" w:ascii="仿宋" w:hAnsi="仿宋" w:cs="仿宋"/>
          <w:color w:val="auto"/>
        </w:rPr>
        <w:t>将已发布文件、各类支撑材料和佐证材料作为附件。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专项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Cs w:val="32"/>
        </w:rPr>
        <w:t>规划类</w:t>
      </w:r>
    </w:p>
    <w:p>
      <w:pPr>
        <w:ind w:firstLine="632"/>
        <w:rPr>
          <w:rFonts w:cs="Times New Roman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海绵城市建设、城镇老旧小区改造、城市生态修复功能完善、完整居住社区建设、地下空间开发建设、“新城建”等</w:t>
      </w:r>
      <w:r>
        <w:rPr>
          <w:rFonts w:hint="eastAsia" w:cs="Times New Roman"/>
          <w:color w:val="auto"/>
          <w:szCs w:val="32"/>
        </w:rPr>
        <w:t>相关规划</w:t>
      </w:r>
      <w:r>
        <w:rPr>
          <w:rFonts w:cs="Times New Roman"/>
          <w:color w:val="auto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（二）规范性文件类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海绵城市建设、城镇老旧小区改造、城市生态修复功能完善、完整居住社区建设、地下空间开发建设、“新城建”等</w:t>
      </w:r>
      <w:r>
        <w:rPr>
          <w:rFonts w:hint="eastAsia" w:cs="Times New Roman"/>
          <w:color w:val="auto"/>
          <w:szCs w:val="32"/>
        </w:rPr>
        <w:t>相关</w:t>
      </w:r>
      <w:r>
        <w:rPr>
          <w:rFonts w:hint="eastAsia" w:ascii="仿宋" w:hAnsi="仿宋" w:cs="仿宋"/>
          <w:color w:val="auto"/>
          <w:szCs w:val="32"/>
        </w:rPr>
        <w:t>的规范性文件。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（三）技术标准类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关于海绵城市建设、</w:t>
      </w:r>
      <w:r>
        <w:rPr>
          <w:rFonts w:cs="Times New Roman"/>
          <w:color w:val="auto"/>
          <w:szCs w:val="32"/>
        </w:rPr>
        <w:t>城市地下空间建设</w:t>
      </w:r>
      <w:r>
        <w:rPr>
          <w:rFonts w:hint="eastAsia" w:cs="Times New Roman"/>
          <w:color w:val="auto"/>
          <w:szCs w:val="32"/>
        </w:rPr>
        <w:t>等方面</w:t>
      </w:r>
      <w:r>
        <w:rPr>
          <w:rFonts w:hint="eastAsia" w:ascii="仿宋" w:hAnsi="仿宋" w:cs="仿宋"/>
          <w:color w:val="auto"/>
          <w:szCs w:val="32"/>
        </w:rPr>
        <w:t>的地方标准、图集、导则等。</w:t>
      </w:r>
    </w:p>
    <w:p>
      <w:pPr>
        <w:ind w:firstLine="634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</w:rPr>
        <w:t>（四）其他</w:t>
      </w:r>
    </w:p>
    <w:p>
      <w:pPr>
        <w:ind w:firstLine="632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其他反映海绵城市建设、城镇老旧小区改造、城市生态修复功能完善、</w:t>
      </w:r>
      <w:r>
        <w:rPr>
          <w:rFonts w:hint="eastAsia" w:ascii="仿宋" w:hAnsi="仿宋" w:cs="仿宋"/>
          <w:color w:val="auto"/>
          <w:szCs w:val="32"/>
          <w:lang w:eastAsia="zh-CN"/>
        </w:rPr>
        <w:t>城市绿地建设、</w:t>
      </w:r>
      <w:r>
        <w:rPr>
          <w:rFonts w:hint="eastAsia" w:ascii="仿宋" w:hAnsi="仿宋" w:cs="仿宋"/>
          <w:color w:val="auto"/>
          <w:szCs w:val="32"/>
        </w:rPr>
        <w:t>完整居住社区建设、地下空间开发建设、“新城建”等工作情况的资料、视频等。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1B34"/>
    <w:rsid w:val="00DF78F5"/>
    <w:rsid w:val="00E93818"/>
    <w:rsid w:val="00ED07DD"/>
    <w:rsid w:val="05763119"/>
    <w:rsid w:val="077F0636"/>
    <w:rsid w:val="07BF5D35"/>
    <w:rsid w:val="07C30F6A"/>
    <w:rsid w:val="07DB2A0B"/>
    <w:rsid w:val="09B33A51"/>
    <w:rsid w:val="0DAF27C8"/>
    <w:rsid w:val="0DF48DD5"/>
    <w:rsid w:val="0EBFF23B"/>
    <w:rsid w:val="0ED3B99E"/>
    <w:rsid w:val="0EFD4071"/>
    <w:rsid w:val="0F78B503"/>
    <w:rsid w:val="0F7B043A"/>
    <w:rsid w:val="0F7BFA96"/>
    <w:rsid w:val="0FDF2053"/>
    <w:rsid w:val="0FE81F17"/>
    <w:rsid w:val="0FF7D9C8"/>
    <w:rsid w:val="0FFAE1A6"/>
    <w:rsid w:val="12B73EE3"/>
    <w:rsid w:val="13CFB233"/>
    <w:rsid w:val="167D8C12"/>
    <w:rsid w:val="167E7EAE"/>
    <w:rsid w:val="19BD9495"/>
    <w:rsid w:val="19E85891"/>
    <w:rsid w:val="1A7FDE5F"/>
    <w:rsid w:val="1ABFBF29"/>
    <w:rsid w:val="1ACF993E"/>
    <w:rsid w:val="1AFF8B97"/>
    <w:rsid w:val="1BFF1083"/>
    <w:rsid w:val="1DB7157F"/>
    <w:rsid w:val="1DDF3190"/>
    <w:rsid w:val="1E7D76A3"/>
    <w:rsid w:val="1EFFC61F"/>
    <w:rsid w:val="1F5FA638"/>
    <w:rsid w:val="1FCB1989"/>
    <w:rsid w:val="1FDAF469"/>
    <w:rsid w:val="1FE50B4A"/>
    <w:rsid w:val="1FE7C444"/>
    <w:rsid w:val="1FEE9747"/>
    <w:rsid w:val="1FF3F5D0"/>
    <w:rsid w:val="1FF89F40"/>
    <w:rsid w:val="1FFDD720"/>
    <w:rsid w:val="1FFF03A9"/>
    <w:rsid w:val="1FFFBB55"/>
    <w:rsid w:val="21D0C7A2"/>
    <w:rsid w:val="24370B31"/>
    <w:rsid w:val="25BB1BF0"/>
    <w:rsid w:val="26BF9AA0"/>
    <w:rsid w:val="26DE5FDC"/>
    <w:rsid w:val="27EF18E7"/>
    <w:rsid w:val="27F68FDE"/>
    <w:rsid w:val="27FF3A06"/>
    <w:rsid w:val="27FF6361"/>
    <w:rsid w:val="29CEF67C"/>
    <w:rsid w:val="2A7DF50A"/>
    <w:rsid w:val="2BDF14AC"/>
    <w:rsid w:val="2BFD3471"/>
    <w:rsid w:val="2DDBB444"/>
    <w:rsid w:val="2DDE10EE"/>
    <w:rsid w:val="2DEFC6DC"/>
    <w:rsid w:val="2E70172E"/>
    <w:rsid w:val="2ED76B50"/>
    <w:rsid w:val="2EDF3E4C"/>
    <w:rsid w:val="2EF9E1D1"/>
    <w:rsid w:val="2F2FE6B0"/>
    <w:rsid w:val="2F33425B"/>
    <w:rsid w:val="2F4B3BEC"/>
    <w:rsid w:val="2F6F488F"/>
    <w:rsid w:val="2FCC7AAF"/>
    <w:rsid w:val="2FD6C51F"/>
    <w:rsid w:val="2FDBDD05"/>
    <w:rsid w:val="2FE3D2CC"/>
    <w:rsid w:val="2FF75DEF"/>
    <w:rsid w:val="2FFFBBA4"/>
    <w:rsid w:val="3137781C"/>
    <w:rsid w:val="31BCAA98"/>
    <w:rsid w:val="337C189F"/>
    <w:rsid w:val="33BEC982"/>
    <w:rsid w:val="33C76058"/>
    <w:rsid w:val="33CF21DD"/>
    <w:rsid w:val="34DF9618"/>
    <w:rsid w:val="34ED00A9"/>
    <w:rsid w:val="357B7421"/>
    <w:rsid w:val="35BB8BE5"/>
    <w:rsid w:val="35E41B04"/>
    <w:rsid w:val="35EE1673"/>
    <w:rsid w:val="35FB2BF6"/>
    <w:rsid w:val="3611D2EE"/>
    <w:rsid w:val="367FA3C4"/>
    <w:rsid w:val="36DE8DCD"/>
    <w:rsid w:val="36FF728E"/>
    <w:rsid w:val="375E7EED"/>
    <w:rsid w:val="376795A8"/>
    <w:rsid w:val="376B38EC"/>
    <w:rsid w:val="376EDC8E"/>
    <w:rsid w:val="377B4966"/>
    <w:rsid w:val="37A12341"/>
    <w:rsid w:val="37AD1DAE"/>
    <w:rsid w:val="37B4D889"/>
    <w:rsid w:val="37BFAF5C"/>
    <w:rsid w:val="37DEE398"/>
    <w:rsid w:val="37E74F3D"/>
    <w:rsid w:val="37FDE690"/>
    <w:rsid w:val="37FF615E"/>
    <w:rsid w:val="39FF6FF3"/>
    <w:rsid w:val="3A6F9ED3"/>
    <w:rsid w:val="3A7589D8"/>
    <w:rsid w:val="3AE947CD"/>
    <w:rsid w:val="3AFD0BE6"/>
    <w:rsid w:val="3B3F9B1B"/>
    <w:rsid w:val="3B77D11A"/>
    <w:rsid w:val="3B7F4ECB"/>
    <w:rsid w:val="3B8CADB1"/>
    <w:rsid w:val="3BCF02F4"/>
    <w:rsid w:val="3BED55BE"/>
    <w:rsid w:val="3BEE8800"/>
    <w:rsid w:val="3BF772B3"/>
    <w:rsid w:val="3BFEACCB"/>
    <w:rsid w:val="3BFFBF87"/>
    <w:rsid w:val="3C27E76D"/>
    <w:rsid w:val="3C7FC5DB"/>
    <w:rsid w:val="3CC735F1"/>
    <w:rsid w:val="3CDFC3CB"/>
    <w:rsid w:val="3CFF9AE4"/>
    <w:rsid w:val="3D296716"/>
    <w:rsid w:val="3D5D3C64"/>
    <w:rsid w:val="3D5F5B4C"/>
    <w:rsid w:val="3D7110A2"/>
    <w:rsid w:val="3D7D7083"/>
    <w:rsid w:val="3D99E7FE"/>
    <w:rsid w:val="3DAE0CBF"/>
    <w:rsid w:val="3DBD4337"/>
    <w:rsid w:val="3DBDB6A8"/>
    <w:rsid w:val="3DBF1AE1"/>
    <w:rsid w:val="3DD7B9BD"/>
    <w:rsid w:val="3DDFB86F"/>
    <w:rsid w:val="3DEBBB2C"/>
    <w:rsid w:val="3DEFCC3D"/>
    <w:rsid w:val="3DF583A3"/>
    <w:rsid w:val="3DFF699A"/>
    <w:rsid w:val="3DFF90C3"/>
    <w:rsid w:val="3E1F8C0F"/>
    <w:rsid w:val="3E5D962C"/>
    <w:rsid w:val="3E6F2693"/>
    <w:rsid w:val="3EB5D829"/>
    <w:rsid w:val="3EBED433"/>
    <w:rsid w:val="3EDEA865"/>
    <w:rsid w:val="3EEF0EA8"/>
    <w:rsid w:val="3EEF7FB9"/>
    <w:rsid w:val="3EF9022D"/>
    <w:rsid w:val="3EFBA6CC"/>
    <w:rsid w:val="3EFFD288"/>
    <w:rsid w:val="3F374B70"/>
    <w:rsid w:val="3F6C13C8"/>
    <w:rsid w:val="3F6FC2D3"/>
    <w:rsid w:val="3F7081B5"/>
    <w:rsid w:val="3F717458"/>
    <w:rsid w:val="3F7BB859"/>
    <w:rsid w:val="3F7EFB2B"/>
    <w:rsid w:val="3F7F7A93"/>
    <w:rsid w:val="3F95FDD7"/>
    <w:rsid w:val="3F9E9C30"/>
    <w:rsid w:val="3FAD514B"/>
    <w:rsid w:val="3FBF3B5E"/>
    <w:rsid w:val="3FBF423D"/>
    <w:rsid w:val="3FC700B2"/>
    <w:rsid w:val="3FDDB50D"/>
    <w:rsid w:val="3FDE8591"/>
    <w:rsid w:val="3FDEEEC7"/>
    <w:rsid w:val="3FE5ABA2"/>
    <w:rsid w:val="3FEB642E"/>
    <w:rsid w:val="3FEEB96E"/>
    <w:rsid w:val="3FF86575"/>
    <w:rsid w:val="3FF91C70"/>
    <w:rsid w:val="3FFAF1E9"/>
    <w:rsid w:val="3FFDE1BD"/>
    <w:rsid w:val="3FFE23E5"/>
    <w:rsid w:val="3FFF03DC"/>
    <w:rsid w:val="3FFF2F1C"/>
    <w:rsid w:val="3FFF6DD5"/>
    <w:rsid w:val="3FFFBA87"/>
    <w:rsid w:val="3FFFEE05"/>
    <w:rsid w:val="3FFFEE6B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AB9B398"/>
    <w:rsid w:val="4AC71ADF"/>
    <w:rsid w:val="4BEF4E48"/>
    <w:rsid w:val="4CFB0334"/>
    <w:rsid w:val="4D37B73D"/>
    <w:rsid w:val="4DF64F93"/>
    <w:rsid w:val="4EBDAEED"/>
    <w:rsid w:val="4F3FA405"/>
    <w:rsid w:val="4F679302"/>
    <w:rsid w:val="4F7781BE"/>
    <w:rsid w:val="4F7F32D3"/>
    <w:rsid w:val="4FD6C9F4"/>
    <w:rsid w:val="4FEBD674"/>
    <w:rsid w:val="4FEF5BB8"/>
    <w:rsid w:val="4FFB96FA"/>
    <w:rsid w:val="4FFBA220"/>
    <w:rsid w:val="4FFF1590"/>
    <w:rsid w:val="504B7FEB"/>
    <w:rsid w:val="51753F1E"/>
    <w:rsid w:val="51E9B9C7"/>
    <w:rsid w:val="52ADA9B6"/>
    <w:rsid w:val="533F6E1B"/>
    <w:rsid w:val="536F15FE"/>
    <w:rsid w:val="53748511"/>
    <w:rsid w:val="539DCDE7"/>
    <w:rsid w:val="53DDD05C"/>
    <w:rsid w:val="53DFF019"/>
    <w:rsid w:val="547638A1"/>
    <w:rsid w:val="55037A39"/>
    <w:rsid w:val="557E6C9B"/>
    <w:rsid w:val="55A38741"/>
    <w:rsid w:val="56EBAF58"/>
    <w:rsid w:val="56EFE59C"/>
    <w:rsid w:val="56FEDD34"/>
    <w:rsid w:val="572DD8EC"/>
    <w:rsid w:val="572FA189"/>
    <w:rsid w:val="575E6A8A"/>
    <w:rsid w:val="576E54CA"/>
    <w:rsid w:val="576FB9BB"/>
    <w:rsid w:val="5778AF90"/>
    <w:rsid w:val="57A7DBBA"/>
    <w:rsid w:val="57ABD539"/>
    <w:rsid w:val="57BD68E1"/>
    <w:rsid w:val="57E55FDE"/>
    <w:rsid w:val="57ED57EF"/>
    <w:rsid w:val="57F91D3F"/>
    <w:rsid w:val="57FF30BF"/>
    <w:rsid w:val="5A8FB4B2"/>
    <w:rsid w:val="5AFDF05B"/>
    <w:rsid w:val="5B7C6FDF"/>
    <w:rsid w:val="5B7F0F42"/>
    <w:rsid w:val="5BB7B514"/>
    <w:rsid w:val="5BD1C4DA"/>
    <w:rsid w:val="5BDDB833"/>
    <w:rsid w:val="5BF909C9"/>
    <w:rsid w:val="5C9DC2BC"/>
    <w:rsid w:val="5CB5C975"/>
    <w:rsid w:val="5CBF56E6"/>
    <w:rsid w:val="5CEDF0CC"/>
    <w:rsid w:val="5CEF3A5D"/>
    <w:rsid w:val="5CF73957"/>
    <w:rsid w:val="5CFCBC1F"/>
    <w:rsid w:val="5D275FDD"/>
    <w:rsid w:val="5DD674D8"/>
    <w:rsid w:val="5DE58017"/>
    <w:rsid w:val="5DFD0298"/>
    <w:rsid w:val="5DFF3CAE"/>
    <w:rsid w:val="5DFFD014"/>
    <w:rsid w:val="5E8FB77F"/>
    <w:rsid w:val="5EAF850B"/>
    <w:rsid w:val="5EB62E9A"/>
    <w:rsid w:val="5EB80755"/>
    <w:rsid w:val="5F3B6127"/>
    <w:rsid w:val="5F4A774A"/>
    <w:rsid w:val="5F5781F5"/>
    <w:rsid w:val="5F5B1EA0"/>
    <w:rsid w:val="5F7B14DC"/>
    <w:rsid w:val="5F7F0DFB"/>
    <w:rsid w:val="5F9F5E52"/>
    <w:rsid w:val="5F9FC41C"/>
    <w:rsid w:val="5FAF121F"/>
    <w:rsid w:val="5FB328B9"/>
    <w:rsid w:val="5FB72C32"/>
    <w:rsid w:val="5FB79CCA"/>
    <w:rsid w:val="5FBB2EB7"/>
    <w:rsid w:val="5FBD60AB"/>
    <w:rsid w:val="5FBE0B1F"/>
    <w:rsid w:val="5FBF9203"/>
    <w:rsid w:val="5FC7F990"/>
    <w:rsid w:val="5FDB714E"/>
    <w:rsid w:val="5FEF8C78"/>
    <w:rsid w:val="5FEF9BEB"/>
    <w:rsid w:val="5FF17673"/>
    <w:rsid w:val="5FF2EDCC"/>
    <w:rsid w:val="5FF3B701"/>
    <w:rsid w:val="5FF5089F"/>
    <w:rsid w:val="5FF5100C"/>
    <w:rsid w:val="5FF51268"/>
    <w:rsid w:val="5FF65F8C"/>
    <w:rsid w:val="5FF77FB1"/>
    <w:rsid w:val="5FFB8626"/>
    <w:rsid w:val="5FFE0694"/>
    <w:rsid w:val="5FFE753D"/>
    <w:rsid w:val="5FFEA521"/>
    <w:rsid w:val="5FFEB9F0"/>
    <w:rsid w:val="5FFEDE07"/>
    <w:rsid w:val="5FFF0227"/>
    <w:rsid w:val="5FFF1133"/>
    <w:rsid w:val="5FFF8F2E"/>
    <w:rsid w:val="5FFF8FD8"/>
    <w:rsid w:val="60EF14E5"/>
    <w:rsid w:val="6137DFDC"/>
    <w:rsid w:val="617D12D7"/>
    <w:rsid w:val="626F5273"/>
    <w:rsid w:val="631D1DC5"/>
    <w:rsid w:val="639DD24F"/>
    <w:rsid w:val="63BFD95A"/>
    <w:rsid w:val="63FFC69B"/>
    <w:rsid w:val="64FF0119"/>
    <w:rsid w:val="651D2491"/>
    <w:rsid w:val="652B2D06"/>
    <w:rsid w:val="65E92E30"/>
    <w:rsid w:val="65EC9399"/>
    <w:rsid w:val="65FF8324"/>
    <w:rsid w:val="65FFCE48"/>
    <w:rsid w:val="666C5E60"/>
    <w:rsid w:val="66B711AB"/>
    <w:rsid w:val="66BF3A24"/>
    <w:rsid w:val="67464C3E"/>
    <w:rsid w:val="679E8434"/>
    <w:rsid w:val="67BD1A48"/>
    <w:rsid w:val="67CB37AE"/>
    <w:rsid w:val="67DC6543"/>
    <w:rsid w:val="67FDE779"/>
    <w:rsid w:val="67FF9F6A"/>
    <w:rsid w:val="67FFB6ED"/>
    <w:rsid w:val="68CFBC20"/>
    <w:rsid w:val="69DFF455"/>
    <w:rsid w:val="69FDD2F2"/>
    <w:rsid w:val="69FF8284"/>
    <w:rsid w:val="69FFC959"/>
    <w:rsid w:val="6ADBC7E1"/>
    <w:rsid w:val="6AF4F4EE"/>
    <w:rsid w:val="6AF75387"/>
    <w:rsid w:val="6AFF9293"/>
    <w:rsid w:val="6B47F63E"/>
    <w:rsid w:val="6BC93F63"/>
    <w:rsid w:val="6BD1C609"/>
    <w:rsid w:val="6BD7AABF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D7958D6"/>
    <w:rsid w:val="6DB532B1"/>
    <w:rsid w:val="6DB72882"/>
    <w:rsid w:val="6DB7BF14"/>
    <w:rsid w:val="6DE74EA3"/>
    <w:rsid w:val="6DEF160A"/>
    <w:rsid w:val="6DEF73A5"/>
    <w:rsid w:val="6DFF7246"/>
    <w:rsid w:val="6E3F6D64"/>
    <w:rsid w:val="6E3F90C7"/>
    <w:rsid w:val="6E78638B"/>
    <w:rsid w:val="6EBBFBB7"/>
    <w:rsid w:val="6ECBB346"/>
    <w:rsid w:val="6EDD85ED"/>
    <w:rsid w:val="6EF71E0A"/>
    <w:rsid w:val="6EF76A36"/>
    <w:rsid w:val="6F1EE98A"/>
    <w:rsid w:val="6F4E7247"/>
    <w:rsid w:val="6F5C6154"/>
    <w:rsid w:val="6F6F8D30"/>
    <w:rsid w:val="6F7F0A9E"/>
    <w:rsid w:val="6F7FEAC1"/>
    <w:rsid w:val="6F9C5D34"/>
    <w:rsid w:val="6FAFAFA1"/>
    <w:rsid w:val="6FB6F1CA"/>
    <w:rsid w:val="6FB71B25"/>
    <w:rsid w:val="6FBC9ECE"/>
    <w:rsid w:val="6FBE7605"/>
    <w:rsid w:val="6FBF56C6"/>
    <w:rsid w:val="6FBFAFB3"/>
    <w:rsid w:val="6FBFD31F"/>
    <w:rsid w:val="6FCF3624"/>
    <w:rsid w:val="6FD34C0D"/>
    <w:rsid w:val="6FD7546E"/>
    <w:rsid w:val="6FD78F75"/>
    <w:rsid w:val="6FDEF353"/>
    <w:rsid w:val="6FDFD163"/>
    <w:rsid w:val="6FE769DA"/>
    <w:rsid w:val="6FEDABAB"/>
    <w:rsid w:val="6FEF9621"/>
    <w:rsid w:val="6FF514E5"/>
    <w:rsid w:val="6FF7E379"/>
    <w:rsid w:val="6FFA9602"/>
    <w:rsid w:val="6FFAB460"/>
    <w:rsid w:val="6FFB25B7"/>
    <w:rsid w:val="6FFB85C6"/>
    <w:rsid w:val="6FFDEAE5"/>
    <w:rsid w:val="6FFE2304"/>
    <w:rsid w:val="6FFE6B38"/>
    <w:rsid w:val="6FFF44D8"/>
    <w:rsid w:val="6FFFB646"/>
    <w:rsid w:val="6FFFE9AC"/>
    <w:rsid w:val="714E3132"/>
    <w:rsid w:val="71EA452B"/>
    <w:rsid w:val="71FE6898"/>
    <w:rsid w:val="72DB9833"/>
    <w:rsid w:val="72EE4E2A"/>
    <w:rsid w:val="72FFF92E"/>
    <w:rsid w:val="735A398B"/>
    <w:rsid w:val="73AFE7E9"/>
    <w:rsid w:val="73BE465F"/>
    <w:rsid w:val="73D6230B"/>
    <w:rsid w:val="73D7DA47"/>
    <w:rsid w:val="73DF007C"/>
    <w:rsid w:val="73EBA37C"/>
    <w:rsid w:val="73EF0EB7"/>
    <w:rsid w:val="73FD87FF"/>
    <w:rsid w:val="73FF3877"/>
    <w:rsid w:val="73FFBD59"/>
    <w:rsid w:val="749F23C0"/>
    <w:rsid w:val="74D59CE7"/>
    <w:rsid w:val="751BB2A4"/>
    <w:rsid w:val="75E5F945"/>
    <w:rsid w:val="75EF597F"/>
    <w:rsid w:val="75F54F55"/>
    <w:rsid w:val="75FF2459"/>
    <w:rsid w:val="75FFCB76"/>
    <w:rsid w:val="766F4B13"/>
    <w:rsid w:val="76A4C64C"/>
    <w:rsid w:val="76E7ED5C"/>
    <w:rsid w:val="76E7F941"/>
    <w:rsid w:val="76EF1390"/>
    <w:rsid w:val="76EF1AEB"/>
    <w:rsid w:val="76EF41C7"/>
    <w:rsid w:val="76FA1B58"/>
    <w:rsid w:val="7725EE78"/>
    <w:rsid w:val="773E5BBA"/>
    <w:rsid w:val="775ED5B4"/>
    <w:rsid w:val="775FA5F5"/>
    <w:rsid w:val="776529F7"/>
    <w:rsid w:val="7776212E"/>
    <w:rsid w:val="777C1211"/>
    <w:rsid w:val="77AE7BDF"/>
    <w:rsid w:val="77B7E0AB"/>
    <w:rsid w:val="77BAABA5"/>
    <w:rsid w:val="77BC6E17"/>
    <w:rsid w:val="77D3AE58"/>
    <w:rsid w:val="77EECEDC"/>
    <w:rsid w:val="77EF7554"/>
    <w:rsid w:val="77F63F9A"/>
    <w:rsid w:val="77F74095"/>
    <w:rsid w:val="77F9CF59"/>
    <w:rsid w:val="77FB8A9D"/>
    <w:rsid w:val="77FB8EE3"/>
    <w:rsid w:val="77FCFAF1"/>
    <w:rsid w:val="77FDCAA6"/>
    <w:rsid w:val="77FE28A3"/>
    <w:rsid w:val="77FF5CA7"/>
    <w:rsid w:val="77FFEB3C"/>
    <w:rsid w:val="785F3045"/>
    <w:rsid w:val="78653E94"/>
    <w:rsid w:val="78B7F455"/>
    <w:rsid w:val="78FF008B"/>
    <w:rsid w:val="793E183D"/>
    <w:rsid w:val="7967B6BB"/>
    <w:rsid w:val="797F1238"/>
    <w:rsid w:val="79EAAD22"/>
    <w:rsid w:val="79EE823E"/>
    <w:rsid w:val="79FDC354"/>
    <w:rsid w:val="7A1BE4A8"/>
    <w:rsid w:val="7A3FA7DD"/>
    <w:rsid w:val="7A715924"/>
    <w:rsid w:val="7A7C590E"/>
    <w:rsid w:val="7A973650"/>
    <w:rsid w:val="7A9EDE72"/>
    <w:rsid w:val="7A9F6A38"/>
    <w:rsid w:val="7AB7F95D"/>
    <w:rsid w:val="7AC7F352"/>
    <w:rsid w:val="7AD717D4"/>
    <w:rsid w:val="7ADE319B"/>
    <w:rsid w:val="7AE7926F"/>
    <w:rsid w:val="7AF17C5A"/>
    <w:rsid w:val="7AFDBDA4"/>
    <w:rsid w:val="7AFE09C3"/>
    <w:rsid w:val="7AFF7029"/>
    <w:rsid w:val="7B4C60F7"/>
    <w:rsid w:val="7B562FD8"/>
    <w:rsid w:val="7B5B1D3A"/>
    <w:rsid w:val="7B662E52"/>
    <w:rsid w:val="7B67CE90"/>
    <w:rsid w:val="7B6DA526"/>
    <w:rsid w:val="7B6F0F34"/>
    <w:rsid w:val="7B75C783"/>
    <w:rsid w:val="7B7A9150"/>
    <w:rsid w:val="7B8FE80A"/>
    <w:rsid w:val="7B9700BB"/>
    <w:rsid w:val="7B9F7DA4"/>
    <w:rsid w:val="7BAD9CB5"/>
    <w:rsid w:val="7BAF779E"/>
    <w:rsid w:val="7BB3E6DA"/>
    <w:rsid w:val="7BB74F6C"/>
    <w:rsid w:val="7BBD1F92"/>
    <w:rsid w:val="7BBD3FC7"/>
    <w:rsid w:val="7BC91D1A"/>
    <w:rsid w:val="7BDBB3A3"/>
    <w:rsid w:val="7BDF3BAA"/>
    <w:rsid w:val="7BE54096"/>
    <w:rsid w:val="7BE5F7E6"/>
    <w:rsid w:val="7BEA72FA"/>
    <w:rsid w:val="7BF5EF19"/>
    <w:rsid w:val="7BF9948C"/>
    <w:rsid w:val="7BFA88DD"/>
    <w:rsid w:val="7BFB1249"/>
    <w:rsid w:val="7BFB16E3"/>
    <w:rsid w:val="7BFB3E90"/>
    <w:rsid w:val="7BFB6B27"/>
    <w:rsid w:val="7BFC628C"/>
    <w:rsid w:val="7BFDE28B"/>
    <w:rsid w:val="7BFE5627"/>
    <w:rsid w:val="7BFEE115"/>
    <w:rsid w:val="7BFEF4F4"/>
    <w:rsid w:val="7BFF5561"/>
    <w:rsid w:val="7BFFAA53"/>
    <w:rsid w:val="7C2CD0C8"/>
    <w:rsid w:val="7C4FBA26"/>
    <w:rsid w:val="7C6132A1"/>
    <w:rsid w:val="7C7FE8B4"/>
    <w:rsid w:val="7C7FFEE8"/>
    <w:rsid w:val="7CA3E458"/>
    <w:rsid w:val="7CDC3D87"/>
    <w:rsid w:val="7CDEEBBF"/>
    <w:rsid w:val="7CFD28F9"/>
    <w:rsid w:val="7CFE6E12"/>
    <w:rsid w:val="7CFFA56A"/>
    <w:rsid w:val="7D1FFD71"/>
    <w:rsid w:val="7D6E4CEE"/>
    <w:rsid w:val="7D794045"/>
    <w:rsid w:val="7D7B0078"/>
    <w:rsid w:val="7D7FAD98"/>
    <w:rsid w:val="7DBB06A4"/>
    <w:rsid w:val="7DBF14AF"/>
    <w:rsid w:val="7DBF9A03"/>
    <w:rsid w:val="7DC0814F"/>
    <w:rsid w:val="7DCFBCA8"/>
    <w:rsid w:val="7DD7C220"/>
    <w:rsid w:val="7DDB7BC2"/>
    <w:rsid w:val="7DDDDE42"/>
    <w:rsid w:val="7DDE7CE4"/>
    <w:rsid w:val="7DDFE761"/>
    <w:rsid w:val="7DEC31DD"/>
    <w:rsid w:val="7DED0008"/>
    <w:rsid w:val="7DFB20D9"/>
    <w:rsid w:val="7DFB48A7"/>
    <w:rsid w:val="7DFD87D5"/>
    <w:rsid w:val="7DFE9BBA"/>
    <w:rsid w:val="7DFEB5EC"/>
    <w:rsid w:val="7DFFB519"/>
    <w:rsid w:val="7DFFB668"/>
    <w:rsid w:val="7DFFF774"/>
    <w:rsid w:val="7E0FD811"/>
    <w:rsid w:val="7E2B960B"/>
    <w:rsid w:val="7E3F4668"/>
    <w:rsid w:val="7E57A706"/>
    <w:rsid w:val="7E5DE354"/>
    <w:rsid w:val="7E5F1975"/>
    <w:rsid w:val="7E5F805B"/>
    <w:rsid w:val="7E5FD147"/>
    <w:rsid w:val="7E6F68AB"/>
    <w:rsid w:val="7E7D3457"/>
    <w:rsid w:val="7E7FCF57"/>
    <w:rsid w:val="7E8BA7D9"/>
    <w:rsid w:val="7E998BAC"/>
    <w:rsid w:val="7EA91CB7"/>
    <w:rsid w:val="7EB3A645"/>
    <w:rsid w:val="7EB3FC25"/>
    <w:rsid w:val="7EB78969"/>
    <w:rsid w:val="7EBD90ED"/>
    <w:rsid w:val="7EBF68F2"/>
    <w:rsid w:val="7ECA5F8F"/>
    <w:rsid w:val="7ECF41D9"/>
    <w:rsid w:val="7ED1D88D"/>
    <w:rsid w:val="7EDF1BDB"/>
    <w:rsid w:val="7EDF618D"/>
    <w:rsid w:val="7EE62815"/>
    <w:rsid w:val="7EE70ED0"/>
    <w:rsid w:val="7EEB3999"/>
    <w:rsid w:val="7EED8D8A"/>
    <w:rsid w:val="7EEF1BF9"/>
    <w:rsid w:val="7EF509CF"/>
    <w:rsid w:val="7EF5776F"/>
    <w:rsid w:val="7EF76306"/>
    <w:rsid w:val="7EFABD23"/>
    <w:rsid w:val="7EFB184A"/>
    <w:rsid w:val="7EFB1A19"/>
    <w:rsid w:val="7EFE2DFA"/>
    <w:rsid w:val="7EFF37A0"/>
    <w:rsid w:val="7EFF64F4"/>
    <w:rsid w:val="7EFFC012"/>
    <w:rsid w:val="7EFFE34B"/>
    <w:rsid w:val="7F07ECB2"/>
    <w:rsid w:val="7F0C6EA2"/>
    <w:rsid w:val="7F0D50B3"/>
    <w:rsid w:val="7F3B428B"/>
    <w:rsid w:val="7F3DF0A7"/>
    <w:rsid w:val="7F3F278F"/>
    <w:rsid w:val="7F4C9B2E"/>
    <w:rsid w:val="7F4E93A9"/>
    <w:rsid w:val="7F4F3E53"/>
    <w:rsid w:val="7F5343EB"/>
    <w:rsid w:val="7F5D943D"/>
    <w:rsid w:val="7F5FE8CE"/>
    <w:rsid w:val="7F675661"/>
    <w:rsid w:val="7F6F5682"/>
    <w:rsid w:val="7F76667B"/>
    <w:rsid w:val="7F77C036"/>
    <w:rsid w:val="7F7BEBA9"/>
    <w:rsid w:val="7F7CD9EF"/>
    <w:rsid w:val="7F7D579B"/>
    <w:rsid w:val="7F7D903D"/>
    <w:rsid w:val="7F7DE4B4"/>
    <w:rsid w:val="7F7E9697"/>
    <w:rsid w:val="7F7EEC7F"/>
    <w:rsid w:val="7F7F7926"/>
    <w:rsid w:val="7F7F7E66"/>
    <w:rsid w:val="7F7FB3BA"/>
    <w:rsid w:val="7F830265"/>
    <w:rsid w:val="7F8EB23D"/>
    <w:rsid w:val="7F972D26"/>
    <w:rsid w:val="7F9E895A"/>
    <w:rsid w:val="7F9F7C84"/>
    <w:rsid w:val="7FB65237"/>
    <w:rsid w:val="7FB72CF8"/>
    <w:rsid w:val="7FBC7B89"/>
    <w:rsid w:val="7FBDAEF1"/>
    <w:rsid w:val="7FBDE3E3"/>
    <w:rsid w:val="7FBE86AE"/>
    <w:rsid w:val="7FBF1965"/>
    <w:rsid w:val="7FBF81AB"/>
    <w:rsid w:val="7FBF9290"/>
    <w:rsid w:val="7FBFA76F"/>
    <w:rsid w:val="7FC37D30"/>
    <w:rsid w:val="7FC5F8C7"/>
    <w:rsid w:val="7FC955C4"/>
    <w:rsid w:val="7FCD0228"/>
    <w:rsid w:val="7FD355D0"/>
    <w:rsid w:val="7FD7E2DB"/>
    <w:rsid w:val="7FD90B21"/>
    <w:rsid w:val="7FDBA3A6"/>
    <w:rsid w:val="7FDE5377"/>
    <w:rsid w:val="7FDE986B"/>
    <w:rsid w:val="7FDF2EC7"/>
    <w:rsid w:val="7FDF772F"/>
    <w:rsid w:val="7FDFABBC"/>
    <w:rsid w:val="7FE19754"/>
    <w:rsid w:val="7FE33C1C"/>
    <w:rsid w:val="7FE9A8CF"/>
    <w:rsid w:val="7FEB31FC"/>
    <w:rsid w:val="7FEC4B30"/>
    <w:rsid w:val="7FEEEDD1"/>
    <w:rsid w:val="7FEEFBDE"/>
    <w:rsid w:val="7FEF646D"/>
    <w:rsid w:val="7FEF99D2"/>
    <w:rsid w:val="7FF218D0"/>
    <w:rsid w:val="7FF3A505"/>
    <w:rsid w:val="7FF3B201"/>
    <w:rsid w:val="7FF7DDD5"/>
    <w:rsid w:val="7FF925F5"/>
    <w:rsid w:val="7FFB0E58"/>
    <w:rsid w:val="7FFBA573"/>
    <w:rsid w:val="7FFBADAB"/>
    <w:rsid w:val="7FFCE2E1"/>
    <w:rsid w:val="7FFD5947"/>
    <w:rsid w:val="7FFD8D5F"/>
    <w:rsid w:val="7FFDE474"/>
    <w:rsid w:val="7FFE51BC"/>
    <w:rsid w:val="7FFE6FDC"/>
    <w:rsid w:val="7FFE9EC7"/>
    <w:rsid w:val="7FFF094F"/>
    <w:rsid w:val="7FFF2CCA"/>
    <w:rsid w:val="7FFF2E3C"/>
    <w:rsid w:val="7FFF5C11"/>
    <w:rsid w:val="7FFF5F9A"/>
    <w:rsid w:val="7FFFD5C2"/>
    <w:rsid w:val="7FFFD917"/>
    <w:rsid w:val="7FFFF502"/>
    <w:rsid w:val="867E9456"/>
    <w:rsid w:val="873F47DF"/>
    <w:rsid w:val="87EBF86A"/>
    <w:rsid w:val="8AD76502"/>
    <w:rsid w:val="8B3F73F7"/>
    <w:rsid w:val="8BFBED2D"/>
    <w:rsid w:val="8CE3016F"/>
    <w:rsid w:val="8EEB7DC1"/>
    <w:rsid w:val="8F7DCC7E"/>
    <w:rsid w:val="8FEF0E78"/>
    <w:rsid w:val="8FFA0468"/>
    <w:rsid w:val="90FB32C5"/>
    <w:rsid w:val="92BFA500"/>
    <w:rsid w:val="92DFD4B4"/>
    <w:rsid w:val="950B73C5"/>
    <w:rsid w:val="953E4870"/>
    <w:rsid w:val="96BD4764"/>
    <w:rsid w:val="97B7EF9E"/>
    <w:rsid w:val="97CD2EBF"/>
    <w:rsid w:val="97F568DB"/>
    <w:rsid w:val="97F75E46"/>
    <w:rsid w:val="97FD60A4"/>
    <w:rsid w:val="97FD768D"/>
    <w:rsid w:val="98FB8AC2"/>
    <w:rsid w:val="9977A3A1"/>
    <w:rsid w:val="99D50A33"/>
    <w:rsid w:val="9B7EB4E4"/>
    <w:rsid w:val="9B7EFC4D"/>
    <w:rsid w:val="9CCFDADF"/>
    <w:rsid w:val="9DDF0C74"/>
    <w:rsid w:val="9F16AA89"/>
    <w:rsid w:val="9F7BB12A"/>
    <w:rsid w:val="9FB87082"/>
    <w:rsid w:val="9FDFA9FF"/>
    <w:rsid w:val="9FEBB6E1"/>
    <w:rsid w:val="9FFF13F5"/>
    <w:rsid w:val="A33FAEBD"/>
    <w:rsid w:val="A3FB2CDC"/>
    <w:rsid w:val="A5BB36AB"/>
    <w:rsid w:val="A6752E82"/>
    <w:rsid w:val="A71C0459"/>
    <w:rsid w:val="A74CA3D6"/>
    <w:rsid w:val="A77FDEE7"/>
    <w:rsid w:val="A7FB54E4"/>
    <w:rsid w:val="A8FFB162"/>
    <w:rsid w:val="A9B93112"/>
    <w:rsid w:val="AAFEFC17"/>
    <w:rsid w:val="ABDF1867"/>
    <w:rsid w:val="ABE9C90C"/>
    <w:rsid w:val="ABF3E08B"/>
    <w:rsid w:val="ABF748FF"/>
    <w:rsid w:val="ACF6D384"/>
    <w:rsid w:val="AD0B3650"/>
    <w:rsid w:val="AD7F6344"/>
    <w:rsid w:val="ADD6B44B"/>
    <w:rsid w:val="AECB195F"/>
    <w:rsid w:val="AEEFCEDC"/>
    <w:rsid w:val="AEFB37E5"/>
    <w:rsid w:val="AF1FE754"/>
    <w:rsid w:val="AF3E03FA"/>
    <w:rsid w:val="AF6FBBDD"/>
    <w:rsid w:val="AFBE4551"/>
    <w:rsid w:val="AFBFC6DA"/>
    <w:rsid w:val="AFC9A3FD"/>
    <w:rsid w:val="AFCD212D"/>
    <w:rsid w:val="AFDC5886"/>
    <w:rsid w:val="AFDFA354"/>
    <w:rsid w:val="AFE79F11"/>
    <w:rsid w:val="AFFF9FB4"/>
    <w:rsid w:val="B1B7A6ED"/>
    <w:rsid w:val="B1FB961F"/>
    <w:rsid w:val="B32F4CE7"/>
    <w:rsid w:val="B3B6C22A"/>
    <w:rsid w:val="B3DE5C54"/>
    <w:rsid w:val="B4FFB424"/>
    <w:rsid w:val="B5DBCF70"/>
    <w:rsid w:val="B5EEF2BB"/>
    <w:rsid w:val="B5FF663F"/>
    <w:rsid w:val="B62F3C99"/>
    <w:rsid w:val="B66E5E7A"/>
    <w:rsid w:val="B67AD4BC"/>
    <w:rsid w:val="B6D13CE5"/>
    <w:rsid w:val="B6FE85A7"/>
    <w:rsid w:val="B72750AE"/>
    <w:rsid w:val="B75F510D"/>
    <w:rsid w:val="B7B5064B"/>
    <w:rsid w:val="B7CE58C7"/>
    <w:rsid w:val="B7D7C09D"/>
    <w:rsid w:val="B7F6ACBC"/>
    <w:rsid w:val="B8332F92"/>
    <w:rsid w:val="B9E7EC3E"/>
    <w:rsid w:val="B9FE008E"/>
    <w:rsid w:val="B9FF8905"/>
    <w:rsid w:val="BB9B9E6A"/>
    <w:rsid w:val="BBB8FF03"/>
    <w:rsid w:val="BBE1D65B"/>
    <w:rsid w:val="BBEFECD8"/>
    <w:rsid w:val="BBFDFA85"/>
    <w:rsid w:val="BD5FDA64"/>
    <w:rsid w:val="BD7EC15E"/>
    <w:rsid w:val="BDAAC53F"/>
    <w:rsid w:val="BDD763E7"/>
    <w:rsid w:val="BDDCEA76"/>
    <w:rsid w:val="BDEA11F5"/>
    <w:rsid w:val="BDF1AE81"/>
    <w:rsid w:val="BDFAEAAD"/>
    <w:rsid w:val="BDFF6BF0"/>
    <w:rsid w:val="BDFF7377"/>
    <w:rsid w:val="BE2E9EA6"/>
    <w:rsid w:val="BE6DBC5D"/>
    <w:rsid w:val="BECF3FAB"/>
    <w:rsid w:val="BEDE3748"/>
    <w:rsid w:val="BEF8EF54"/>
    <w:rsid w:val="BF1B0B6A"/>
    <w:rsid w:val="BF3B91F7"/>
    <w:rsid w:val="BF3BE0F7"/>
    <w:rsid w:val="BF4FA9E0"/>
    <w:rsid w:val="BF5AE7DB"/>
    <w:rsid w:val="BF5FE9F9"/>
    <w:rsid w:val="BF675C00"/>
    <w:rsid w:val="BF6ECC8D"/>
    <w:rsid w:val="BF6FCC48"/>
    <w:rsid w:val="BF7B8E6B"/>
    <w:rsid w:val="BFAF811A"/>
    <w:rsid w:val="BFBD9254"/>
    <w:rsid w:val="BFCCD197"/>
    <w:rsid w:val="BFCFE2F0"/>
    <w:rsid w:val="BFDD61F4"/>
    <w:rsid w:val="BFDEBA17"/>
    <w:rsid w:val="BFDF714E"/>
    <w:rsid w:val="BFEFC846"/>
    <w:rsid w:val="BFF7C5D9"/>
    <w:rsid w:val="BFFB3EA6"/>
    <w:rsid w:val="BFFD3AD4"/>
    <w:rsid w:val="BFFD7D4C"/>
    <w:rsid w:val="BFFF227D"/>
    <w:rsid w:val="BFFF3693"/>
    <w:rsid w:val="BFFF5181"/>
    <w:rsid w:val="BFFFAFB9"/>
    <w:rsid w:val="C4DE9366"/>
    <w:rsid w:val="C5AFA1FF"/>
    <w:rsid w:val="C5E7C152"/>
    <w:rsid w:val="C7B7D283"/>
    <w:rsid w:val="C7BFF559"/>
    <w:rsid w:val="C7DBA4BA"/>
    <w:rsid w:val="C7E41799"/>
    <w:rsid w:val="C7EF9D48"/>
    <w:rsid w:val="C8CBD462"/>
    <w:rsid w:val="C9CFFFF9"/>
    <w:rsid w:val="CB829414"/>
    <w:rsid w:val="CB98BF6D"/>
    <w:rsid w:val="CBF3B357"/>
    <w:rsid w:val="CCF53C6A"/>
    <w:rsid w:val="CD79EA1F"/>
    <w:rsid w:val="CD7EB2AD"/>
    <w:rsid w:val="CD7FF0DA"/>
    <w:rsid w:val="CDFB1CE0"/>
    <w:rsid w:val="CE230E4E"/>
    <w:rsid w:val="CE972B9C"/>
    <w:rsid w:val="CEBBF827"/>
    <w:rsid w:val="CEE76169"/>
    <w:rsid w:val="CEFB9209"/>
    <w:rsid w:val="CF0CD13D"/>
    <w:rsid w:val="CF1C6FEE"/>
    <w:rsid w:val="CF3948BB"/>
    <w:rsid w:val="CF7EF005"/>
    <w:rsid w:val="CFB76867"/>
    <w:rsid w:val="CFBC6E84"/>
    <w:rsid w:val="CFDF21A8"/>
    <w:rsid w:val="CFEC0EEF"/>
    <w:rsid w:val="CFFB1C95"/>
    <w:rsid w:val="CFFE3A06"/>
    <w:rsid w:val="D270339E"/>
    <w:rsid w:val="D2FE632F"/>
    <w:rsid w:val="D3D090C6"/>
    <w:rsid w:val="D3F501F8"/>
    <w:rsid w:val="D3FBE056"/>
    <w:rsid w:val="D576F75C"/>
    <w:rsid w:val="D5BFF9D7"/>
    <w:rsid w:val="D5EF7490"/>
    <w:rsid w:val="D64F3985"/>
    <w:rsid w:val="D6D42AD8"/>
    <w:rsid w:val="D6DD3F3F"/>
    <w:rsid w:val="D6F9C005"/>
    <w:rsid w:val="D6FFA76F"/>
    <w:rsid w:val="D75E8AB6"/>
    <w:rsid w:val="D789825C"/>
    <w:rsid w:val="D7D2A5EA"/>
    <w:rsid w:val="D7EBAF5F"/>
    <w:rsid w:val="D7FDCCEC"/>
    <w:rsid w:val="D7FF3E4F"/>
    <w:rsid w:val="D7FFF534"/>
    <w:rsid w:val="D83FEAE5"/>
    <w:rsid w:val="D8C687B1"/>
    <w:rsid w:val="D9A7CBCA"/>
    <w:rsid w:val="D9BB28D2"/>
    <w:rsid w:val="D9EB8FF8"/>
    <w:rsid w:val="D9ED66A2"/>
    <w:rsid w:val="D9EF0907"/>
    <w:rsid w:val="D9F74E2A"/>
    <w:rsid w:val="DA1FAFFF"/>
    <w:rsid w:val="DAED963A"/>
    <w:rsid w:val="DB57B878"/>
    <w:rsid w:val="DB6F7C81"/>
    <w:rsid w:val="DB7587B6"/>
    <w:rsid w:val="DBC7304E"/>
    <w:rsid w:val="DBDC0B2D"/>
    <w:rsid w:val="DBF9EA29"/>
    <w:rsid w:val="DBFB8B79"/>
    <w:rsid w:val="DBFF5B64"/>
    <w:rsid w:val="DBFFE36A"/>
    <w:rsid w:val="DCD3111F"/>
    <w:rsid w:val="DCD322BE"/>
    <w:rsid w:val="DCF048D2"/>
    <w:rsid w:val="DCFC2CAC"/>
    <w:rsid w:val="DD4E6366"/>
    <w:rsid w:val="DD7F172E"/>
    <w:rsid w:val="DDA998B3"/>
    <w:rsid w:val="DDCF58BA"/>
    <w:rsid w:val="DDDB5D79"/>
    <w:rsid w:val="DE330624"/>
    <w:rsid w:val="DE37C303"/>
    <w:rsid w:val="DE3D6C5C"/>
    <w:rsid w:val="DE762548"/>
    <w:rsid w:val="DE7F8835"/>
    <w:rsid w:val="DE7FF297"/>
    <w:rsid w:val="DEA634BF"/>
    <w:rsid w:val="DEAC5570"/>
    <w:rsid w:val="DEB73CFD"/>
    <w:rsid w:val="DEBE2B67"/>
    <w:rsid w:val="DECF2858"/>
    <w:rsid w:val="DEDAE489"/>
    <w:rsid w:val="DEF8DF9B"/>
    <w:rsid w:val="DEFD2F52"/>
    <w:rsid w:val="DEFF345E"/>
    <w:rsid w:val="DF17A92F"/>
    <w:rsid w:val="DF2B74C1"/>
    <w:rsid w:val="DF3D3D1F"/>
    <w:rsid w:val="DF3E3D43"/>
    <w:rsid w:val="DF3E4F37"/>
    <w:rsid w:val="DF4C57B7"/>
    <w:rsid w:val="DF5B1782"/>
    <w:rsid w:val="DF5B3DC0"/>
    <w:rsid w:val="DF65BEE6"/>
    <w:rsid w:val="DF6E495C"/>
    <w:rsid w:val="DF7268BB"/>
    <w:rsid w:val="DF7A1678"/>
    <w:rsid w:val="DF7E5003"/>
    <w:rsid w:val="DF8F6DCA"/>
    <w:rsid w:val="DF9AB8C0"/>
    <w:rsid w:val="DFA3169A"/>
    <w:rsid w:val="DFAA26FA"/>
    <w:rsid w:val="DFAB7066"/>
    <w:rsid w:val="DFAD9E7F"/>
    <w:rsid w:val="DFB2DCB3"/>
    <w:rsid w:val="DFB71FC5"/>
    <w:rsid w:val="DFBAFBE3"/>
    <w:rsid w:val="DFBB23AA"/>
    <w:rsid w:val="DFBFC7B5"/>
    <w:rsid w:val="DFC6DC2A"/>
    <w:rsid w:val="DFDDBCE1"/>
    <w:rsid w:val="DFDFC3A8"/>
    <w:rsid w:val="DFEB4ADC"/>
    <w:rsid w:val="DFED4442"/>
    <w:rsid w:val="DFEF3155"/>
    <w:rsid w:val="DFF93956"/>
    <w:rsid w:val="DFFBCF99"/>
    <w:rsid w:val="DFFCB434"/>
    <w:rsid w:val="DFFDA4B6"/>
    <w:rsid w:val="DFFE4BD2"/>
    <w:rsid w:val="DFFEFA66"/>
    <w:rsid w:val="DFFF011C"/>
    <w:rsid w:val="DFFF0E5F"/>
    <w:rsid w:val="DFFF13BC"/>
    <w:rsid w:val="DFFF19BB"/>
    <w:rsid w:val="DFFFA976"/>
    <w:rsid w:val="DFFFDE9A"/>
    <w:rsid w:val="E2D29369"/>
    <w:rsid w:val="E2F54B92"/>
    <w:rsid w:val="E3FA64AC"/>
    <w:rsid w:val="E3FF025D"/>
    <w:rsid w:val="E3FFB6DC"/>
    <w:rsid w:val="E4CF930A"/>
    <w:rsid w:val="E4FB6DB4"/>
    <w:rsid w:val="E52E580C"/>
    <w:rsid w:val="E5790D85"/>
    <w:rsid w:val="E57F8436"/>
    <w:rsid w:val="E5B7AF22"/>
    <w:rsid w:val="E62C4049"/>
    <w:rsid w:val="E6652F2C"/>
    <w:rsid w:val="E72BB783"/>
    <w:rsid w:val="E77FC583"/>
    <w:rsid w:val="E79EB100"/>
    <w:rsid w:val="E79FB77C"/>
    <w:rsid w:val="E7B4429B"/>
    <w:rsid w:val="E7DD9859"/>
    <w:rsid w:val="E7DF7B7A"/>
    <w:rsid w:val="E7EE53AE"/>
    <w:rsid w:val="E7EF4751"/>
    <w:rsid w:val="E7FF4C4D"/>
    <w:rsid w:val="E84BECA9"/>
    <w:rsid w:val="E97BAFD7"/>
    <w:rsid w:val="E9EFA337"/>
    <w:rsid w:val="E9F59004"/>
    <w:rsid w:val="E9FF6DDF"/>
    <w:rsid w:val="EA7E5A3C"/>
    <w:rsid w:val="EA9F093F"/>
    <w:rsid w:val="EAEB3FD1"/>
    <w:rsid w:val="EAF76312"/>
    <w:rsid w:val="EB7C7478"/>
    <w:rsid w:val="EBBD9BF3"/>
    <w:rsid w:val="EBCCC81A"/>
    <w:rsid w:val="EBF58489"/>
    <w:rsid w:val="EBFE231B"/>
    <w:rsid w:val="EBFED9BE"/>
    <w:rsid w:val="ECD5F3A0"/>
    <w:rsid w:val="ECF624C6"/>
    <w:rsid w:val="ECFD472E"/>
    <w:rsid w:val="ECFF9A32"/>
    <w:rsid w:val="ED393326"/>
    <w:rsid w:val="ED6F235A"/>
    <w:rsid w:val="ED7CB9E1"/>
    <w:rsid w:val="ED7D8C42"/>
    <w:rsid w:val="EDAFAC4C"/>
    <w:rsid w:val="EDBF2B26"/>
    <w:rsid w:val="EDBFD17E"/>
    <w:rsid w:val="EDCB7EDB"/>
    <w:rsid w:val="EDDECCE6"/>
    <w:rsid w:val="EDF390E6"/>
    <w:rsid w:val="EDF72DF5"/>
    <w:rsid w:val="EDF82F93"/>
    <w:rsid w:val="EE77F49D"/>
    <w:rsid w:val="EE7F4F32"/>
    <w:rsid w:val="EEBF1EC7"/>
    <w:rsid w:val="EEC87C93"/>
    <w:rsid w:val="EEE6282F"/>
    <w:rsid w:val="EEF6DF70"/>
    <w:rsid w:val="EEFC5905"/>
    <w:rsid w:val="EF3F3E4C"/>
    <w:rsid w:val="EF5A65C9"/>
    <w:rsid w:val="EF6BB409"/>
    <w:rsid w:val="EF76174E"/>
    <w:rsid w:val="EF76637D"/>
    <w:rsid w:val="EF77BEF0"/>
    <w:rsid w:val="EF79DF32"/>
    <w:rsid w:val="EF7DD2BC"/>
    <w:rsid w:val="EF7DF2FF"/>
    <w:rsid w:val="EFABC3EF"/>
    <w:rsid w:val="EFB96720"/>
    <w:rsid w:val="EFCAA6A5"/>
    <w:rsid w:val="EFD7FBEE"/>
    <w:rsid w:val="EFDA606B"/>
    <w:rsid w:val="EFDE1F25"/>
    <w:rsid w:val="EFDE633F"/>
    <w:rsid w:val="EFDF0C0F"/>
    <w:rsid w:val="EFDF0F19"/>
    <w:rsid w:val="EFDF4BF4"/>
    <w:rsid w:val="EFE7479D"/>
    <w:rsid w:val="EFED29E5"/>
    <w:rsid w:val="EFEF68F3"/>
    <w:rsid w:val="EFF985F3"/>
    <w:rsid w:val="EFF9D58A"/>
    <w:rsid w:val="EFFAB151"/>
    <w:rsid w:val="EFFD9383"/>
    <w:rsid w:val="EFFE5930"/>
    <w:rsid w:val="EFFF10CF"/>
    <w:rsid w:val="EFFF1B34"/>
    <w:rsid w:val="EFFF2CAB"/>
    <w:rsid w:val="F19F3857"/>
    <w:rsid w:val="F1FBC596"/>
    <w:rsid w:val="F1FDEE0D"/>
    <w:rsid w:val="F1FF1349"/>
    <w:rsid w:val="F2E3EC46"/>
    <w:rsid w:val="F2FE2C74"/>
    <w:rsid w:val="F2FEF787"/>
    <w:rsid w:val="F38D895D"/>
    <w:rsid w:val="F3A56450"/>
    <w:rsid w:val="F3B76246"/>
    <w:rsid w:val="F3E87DFD"/>
    <w:rsid w:val="F3EB640A"/>
    <w:rsid w:val="F3F90F06"/>
    <w:rsid w:val="F3FF0CBA"/>
    <w:rsid w:val="F3FF33E5"/>
    <w:rsid w:val="F499652E"/>
    <w:rsid w:val="F4AF0FE5"/>
    <w:rsid w:val="F53D58DF"/>
    <w:rsid w:val="F5F7FFA4"/>
    <w:rsid w:val="F5F9C879"/>
    <w:rsid w:val="F677FD36"/>
    <w:rsid w:val="F6AEA838"/>
    <w:rsid w:val="F6B35273"/>
    <w:rsid w:val="F6BA26BB"/>
    <w:rsid w:val="F6DFC6AB"/>
    <w:rsid w:val="F6E5C265"/>
    <w:rsid w:val="F6EB39A3"/>
    <w:rsid w:val="F6EF001A"/>
    <w:rsid w:val="F6EF0A46"/>
    <w:rsid w:val="F6FB6420"/>
    <w:rsid w:val="F6FD518B"/>
    <w:rsid w:val="F7353BCB"/>
    <w:rsid w:val="F73F525C"/>
    <w:rsid w:val="F74FCBE5"/>
    <w:rsid w:val="F7732984"/>
    <w:rsid w:val="F77412C9"/>
    <w:rsid w:val="F7792CC2"/>
    <w:rsid w:val="F77FED75"/>
    <w:rsid w:val="F79FABA4"/>
    <w:rsid w:val="F7CDFBFA"/>
    <w:rsid w:val="F7D3102B"/>
    <w:rsid w:val="F7D79CEC"/>
    <w:rsid w:val="F7E775BE"/>
    <w:rsid w:val="F7E7F4EB"/>
    <w:rsid w:val="F7ECFE3B"/>
    <w:rsid w:val="F7F11D54"/>
    <w:rsid w:val="F7F182B0"/>
    <w:rsid w:val="F7F724D2"/>
    <w:rsid w:val="F7F77AC8"/>
    <w:rsid w:val="F7F7A61B"/>
    <w:rsid w:val="F7FB3BEA"/>
    <w:rsid w:val="F7FD4DAA"/>
    <w:rsid w:val="F7FE3EF9"/>
    <w:rsid w:val="F7FE9739"/>
    <w:rsid w:val="F7FEF70D"/>
    <w:rsid w:val="F7FF35EB"/>
    <w:rsid w:val="F7FF8FF1"/>
    <w:rsid w:val="F81D92A5"/>
    <w:rsid w:val="F8C786A9"/>
    <w:rsid w:val="F8DB15BC"/>
    <w:rsid w:val="F8DFCF74"/>
    <w:rsid w:val="F8FB9899"/>
    <w:rsid w:val="F9B35916"/>
    <w:rsid w:val="F9B71846"/>
    <w:rsid w:val="F9BFB471"/>
    <w:rsid w:val="F9DD8FCB"/>
    <w:rsid w:val="F9ED6BEB"/>
    <w:rsid w:val="F9F73859"/>
    <w:rsid w:val="F9F7701E"/>
    <w:rsid w:val="F9FF22F3"/>
    <w:rsid w:val="F9FF56F3"/>
    <w:rsid w:val="F9FF7B77"/>
    <w:rsid w:val="FA2A5FFA"/>
    <w:rsid w:val="FA7A06FB"/>
    <w:rsid w:val="FAA7B3DD"/>
    <w:rsid w:val="FAEF2ACD"/>
    <w:rsid w:val="FAF95E3D"/>
    <w:rsid w:val="FAFB61FB"/>
    <w:rsid w:val="FAFFE10F"/>
    <w:rsid w:val="FB1C0DF7"/>
    <w:rsid w:val="FB1EF3E8"/>
    <w:rsid w:val="FB35AECD"/>
    <w:rsid w:val="FB3BD7B7"/>
    <w:rsid w:val="FB3F2A8D"/>
    <w:rsid w:val="FB3FA08A"/>
    <w:rsid w:val="FB4FC5D7"/>
    <w:rsid w:val="FB57E9E4"/>
    <w:rsid w:val="FB5E6F23"/>
    <w:rsid w:val="FB6EB85F"/>
    <w:rsid w:val="FB798F5A"/>
    <w:rsid w:val="FB7E0EC6"/>
    <w:rsid w:val="FB7E5D5D"/>
    <w:rsid w:val="FB9C8339"/>
    <w:rsid w:val="FBA3349D"/>
    <w:rsid w:val="FBB66892"/>
    <w:rsid w:val="FBB74F1E"/>
    <w:rsid w:val="FBBFF72A"/>
    <w:rsid w:val="FBCB0959"/>
    <w:rsid w:val="FBCBFF94"/>
    <w:rsid w:val="FBDC3D60"/>
    <w:rsid w:val="FBDEC689"/>
    <w:rsid w:val="FBE6AAC7"/>
    <w:rsid w:val="FBE79260"/>
    <w:rsid w:val="FBEB9A3B"/>
    <w:rsid w:val="FBEDAAF5"/>
    <w:rsid w:val="FBEF62EC"/>
    <w:rsid w:val="FBEFC215"/>
    <w:rsid w:val="FBF5D4FE"/>
    <w:rsid w:val="FBF7ADF9"/>
    <w:rsid w:val="FBFA3F5E"/>
    <w:rsid w:val="FBFB074E"/>
    <w:rsid w:val="FBFC6B87"/>
    <w:rsid w:val="FBFD1C9E"/>
    <w:rsid w:val="FBFD9FD1"/>
    <w:rsid w:val="FBFDBC21"/>
    <w:rsid w:val="FBFFEB5A"/>
    <w:rsid w:val="FC3BD78F"/>
    <w:rsid w:val="FC7EDC95"/>
    <w:rsid w:val="FC9A1EE1"/>
    <w:rsid w:val="FC9F412A"/>
    <w:rsid w:val="FCCF1307"/>
    <w:rsid w:val="FCDFB095"/>
    <w:rsid w:val="FCFC5708"/>
    <w:rsid w:val="FCFE8065"/>
    <w:rsid w:val="FCFFE056"/>
    <w:rsid w:val="FD37DD5D"/>
    <w:rsid w:val="FD387155"/>
    <w:rsid w:val="FD3DF657"/>
    <w:rsid w:val="FD5D9767"/>
    <w:rsid w:val="FD7BF34E"/>
    <w:rsid w:val="FD7F5F78"/>
    <w:rsid w:val="FDB76D66"/>
    <w:rsid w:val="FDBB56AC"/>
    <w:rsid w:val="FDD63929"/>
    <w:rsid w:val="FDEB5F0B"/>
    <w:rsid w:val="FDF5B6CF"/>
    <w:rsid w:val="FDF5C3F1"/>
    <w:rsid w:val="FDF6108F"/>
    <w:rsid w:val="FDF6F7CD"/>
    <w:rsid w:val="FDF6FE5A"/>
    <w:rsid w:val="FDF709D3"/>
    <w:rsid w:val="FDF73BF8"/>
    <w:rsid w:val="FDF880DB"/>
    <w:rsid w:val="FDFD544A"/>
    <w:rsid w:val="FDFF1D98"/>
    <w:rsid w:val="FE3DD200"/>
    <w:rsid w:val="FE3EFD2F"/>
    <w:rsid w:val="FE47E92B"/>
    <w:rsid w:val="FE4CE963"/>
    <w:rsid w:val="FE574955"/>
    <w:rsid w:val="FE6A23D2"/>
    <w:rsid w:val="FE6E85E2"/>
    <w:rsid w:val="FE73954D"/>
    <w:rsid w:val="FE7B7CB0"/>
    <w:rsid w:val="FE8F945C"/>
    <w:rsid w:val="FE972778"/>
    <w:rsid w:val="FEA63A68"/>
    <w:rsid w:val="FEAD140C"/>
    <w:rsid w:val="FEAF9301"/>
    <w:rsid w:val="FEB28D9D"/>
    <w:rsid w:val="FEBC4FB8"/>
    <w:rsid w:val="FEBDFB15"/>
    <w:rsid w:val="FEBF112A"/>
    <w:rsid w:val="FEBFA22B"/>
    <w:rsid w:val="FEC7E839"/>
    <w:rsid w:val="FEDA6906"/>
    <w:rsid w:val="FEDAC411"/>
    <w:rsid w:val="FEDB7DBF"/>
    <w:rsid w:val="FEDDCDD9"/>
    <w:rsid w:val="FEDF1632"/>
    <w:rsid w:val="FEDF69F7"/>
    <w:rsid w:val="FEDFF331"/>
    <w:rsid w:val="FEEF5D52"/>
    <w:rsid w:val="FEF7E5F7"/>
    <w:rsid w:val="FEF98853"/>
    <w:rsid w:val="FEFBCD00"/>
    <w:rsid w:val="FEFF0810"/>
    <w:rsid w:val="FEFFF643"/>
    <w:rsid w:val="FF0F0F17"/>
    <w:rsid w:val="FF33F48E"/>
    <w:rsid w:val="FF36421C"/>
    <w:rsid w:val="FF387F6C"/>
    <w:rsid w:val="FF56B149"/>
    <w:rsid w:val="FF599283"/>
    <w:rsid w:val="FF59E9C6"/>
    <w:rsid w:val="FF5B4630"/>
    <w:rsid w:val="FF5D2549"/>
    <w:rsid w:val="FF6259B2"/>
    <w:rsid w:val="FF6B7825"/>
    <w:rsid w:val="FF7611AA"/>
    <w:rsid w:val="FF7A3986"/>
    <w:rsid w:val="FF7B3A5D"/>
    <w:rsid w:val="FF7D91CF"/>
    <w:rsid w:val="FF7DA70D"/>
    <w:rsid w:val="FF7DF51B"/>
    <w:rsid w:val="FF7F4C2E"/>
    <w:rsid w:val="FF7FD77A"/>
    <w:rsid w:val="FF7FF0C9"/>
    <w:rsid w:val="FF8E927C"/>
    <w:rsid w:val="FF8FF17C"/>
    <w:rsid w:val="FF9F323A"/>
    <w:rsid w:val="FFAE02B7"/>
    <w:rsid w:val="FFB304F4"/>
    <w:rsid w:val="FFB31A20"/>
    <w:rsid w:val="FFB516B3"/>
    <w:rsid w:val="FFB7D5E2"/>
    <w:rsid w:val="FFBAF5BE"/>
    <w:rsid w:val="FFBBDD88"/>
    <w:rsid w:val="FFBE3D34"/>
    <w:rsid w:val="FFBF2B16"/>
    <w:rsid w:val="FFBF3FAB"/>
    <w:rsid w:val="FFBF5E79"/>
    <w:rsid w:val="FFBFC0FD"/>
    <w:rsid w:val="FFBFC25E"/>
    <w:rsid w:val="FFBFD063"/>
    <w:rsid w:val="FFD7C266"/>
    <w:rsid w:val="FFDBABD3"/>
    <w:rsid w:val="FFDD915B"/>
    <w:rsid w:val="FFDF0701"/>
    <w:rsid w:val="FFDF7796"/>
    <w:rsid w:val="FFDF973D"/>
    <w:rsid w:val="FFE1C97A"/>
    <w:rsid w:val="FFE36575"/>
    <w:rsid w:val="FFECE311"/>
    <w:rsid w:val="FFED9249"/>
    <w:rsid w:val="FFEE21B2"/>
    <w:rsid w:val="FFEF0E06"/>
    <w:rsid w:val="FFEF5E51"/>
    <w:rsid w:val="FFF15515"/>
    <w:rsid w:val="FFF5D6D1"/>
    <w:rsid w:val="FFF5F791"/>
    <w:rsid w:val="FFF7B11D"/>
    <w:rsid w:val="FFF82841"/>
    <w:rsid w:val="FFF996E5"/>
    <w:rsid w:val="FFFCEB67"/>
    <w:rsid w:val="FFFD02A8"/>
    <w:rsid w:val="FFFD68C2"/>
    <w:rsid w:val="FFFDAC52"/>
    <w:rsid w:val="FFFDCF39"/>
    <w:rsid w:val="FFFDF078"/>
    <w:rsid w:val="FFFE32CA"/>
    <w:rsid w:val="FFFF3B81"/>
    <w:rsid w:val="FFFF8EFD"/>
    <w:rsid w:val="FFFFD2D8"/>
    <w:rsid w:val="FFFF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9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2718</Characters>
  <Lines>22</Lines>
  <Paragraphs>6</Paragraphs>
  <TotalTime>134</TotalTime>
  <ScaleCrop>false</ScaleCrop>
  <LinksUpToDate>false</LinksUpToDate>
  <CharactersWithSpaces>3188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2021-04-14T17:35:00Z</dcterms:created>
  <dc:creator>陈伟</dc:creator>
  <cp:lastModifiedBy>yy</cp:lastModifiedBy>
  <cp:lastPrinted>2021-04-21T22:11:00Z</cp:lastPrinted>
  <dcterms:modified xsi:type="dcterms:W3CDTF">2021-04-25T07:50:14Z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